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C2" w:rsidRPr="002157C2" w:rsidRDefault="002157C2" w:rsidP="002157C2">
      <w:pPr>
        <w:pStyle w:val="11"/>
        <w:ind w:firstLine="709"/>
        <w:jc w:val="right"/>
        <w:rPr>
          <w:sz w:val="24"/>
          <w:szCs w:val="24"/>
          <w:lang w:val="uk-UA"/>
        </w:rPr>
      </w:pPr>
    </w:p>
    <w:p w:rsidR="000E28A0" w:rsidRPr="00BC597B" w:rsidRDefault="000E28A0" w:rsidP="000E28A0">
      <w:pPr>
        <w:pStyle w:val="11"/>
        <w:ind w:firstLine="709"/>
        <w:jc w:val="center"/>
        <w:rPr>
          <w:b/>
          <w:sz w:val="24"/>
          <w:szCs w:val="24"/>
          <w:lang w:val="uk-UA"/>
        </w:rPr>
      </w:pPr>
      <w:r w:rsidRPr="00BC597B">
        <w:rPr>
          <w:b/>
          <w:sz w:val="24"/>
          <w:szCs w:val="24"/>
        </w:rPr>
        <w:t>Коротка характеристика препарату</w:t>
      </w:r>
    </w:p>
    <w:p w:rsidR="000E28A0" w:rsidRPr="00BC597B" w:rsidRDefault="000E28A0" w:rsidP="000E28A0">
      <w:pPr>
        <w:pStyle w:val="11"/>
        <w:ind w:firstLine="709"/>
        <w:jc w:val="center"/>
        <w:rPr>
          <w:b/>
          <w:sz w:val="24"/>
          <w:szCs w:val="24"/>
          <w:lang w:val="uk-UA"/>
        </w:rPr>
      </w:pPr>
    </w:p>
    <w:p w:rsidR="000E28A0" w:rsidRPr="00E75E09" w:rsidRDefault="000E28A0" w:rsidP="006F7267">
      <w:pPr>
        <w:ind w:firstLine="567"/>
        <w:jc w:val="both"/>
        <w:rPr>
          <w:b/>
        </w:rPr>
      </w:pPr>
      <w:r w:rsidRPr="00BC597B">
        <w:rPr>
          <w:b/>
        </w:rPr>
        <w:t>1</w:t>
      </w:r>
      <w:r w:rsidRPr="00E75E09">
        <w:rPr>
          <w:b/>
        </w:rPr>
        <w:t>.  Назва</w:t>
      </w:r>
    </w:p>
    <w:p w:rsidR="000E28A0" w:rsidRPr="00E75E09" w:rsidRDefault="000E28A0" w:rsidP="006F7267">
      <w:pPr>
        <w:ind w:firstLine="567"/>
        <w:jc w:val="both"/>
        <w:rPr>
          <w:lang w:val="uk-UA"/>
        </w:rPr>
      </w:pPr>
      <w:r>
        <w:rPr>
          <w:lang w:val="uk-UA"/>
        </w:rPr>
        <w:t>PRIMERA VS</w:t>
      </w:r>
    </w:p>
    <w:p w:rsidR="000E28A0" w:rsidRPr="00E75E09" w:rsidRDefault="000E28A0" w:rsidP="006F7267">
      <w:pPr>
        <w:pStyle w:val="11"/>
        <w:ind w:firstLine="567"/>
        <w:jc w:val="both"/>
        <w:rPr>
          <w:sz w:val="24"/>
          <w:szCs w:val="24"/>
        </w:rPr>
      </w:pPr>
      <w:r w:rsidRPr="00E75E09">
        <w:rPr>
          <w:b/>
          <w:sz w:val="24"/>
          <w:szCs w:val="24"/>
        </w:rPr>
        <w:t>2. Склад</w:t>
      </w:r>
      <w:r w:rsidRPr="00E75E09">
        <w:rPr>
          <w:sz w:val="24"/>
          <w:szCs w:val="24"/>
        </w:rPr>
        <w:t xml:space="preserve"> </w:t>
      </w:r>
    </w:p>
    <w:p w:rsidR="000E28A0" w:rsidRPr="008060BB" w:rsidRDefault="000E28A0" w:rsidP="006F7267">
      <w:pPr>
        <w:ind w:firstLine="567"/>
        <w:jc w:val="both"/>
      </w:pPr>
      <w:r w:rsidRPr="008060BB">
        <w:rPr>
          <w:bCs/>
          <w:lang w:val="uk-UA"/>
        </w:rPr>
        <w:t>1</w:t>
      </w:r>
      <w:r w:rsidRPr="008060BB">
        <w:rPr>
          <w:lang w:val="uk-UA"/>
        </w:rPr>
        <w:t xml:space="preserve"> г препарату містить </w:t>
      </w:r>
      <w:r w:rsidRPr="008060BB">
        <w:rPr>
          <w:rFonts w:eastAsia="Calibri"/>
          <w:color w:val="000000"/>
          <w:lang w:val="uk-UA" w:eastAsia="en-US"/>
        </w:rPr>
        <w:t>діючі речовини</w:t>
      </w:r>
      <w:r w:rsidRPr="008060BB">
        <w:t>:</w:t>
      </w:r>
    </w:p>
    <w:p w:rsidR="000E28A0" w:rsidRPr="006F7267" w:rsidRDefault="000E28A0" w:rsidP="006F7267">
      <w:pPr>
        <w:pStyle w:val="cs242d954b"/>
        <w:ind w:right="0" w:firstLine="567"/>
      </w:pPr>
      <w:r w:rsidRPr="006F7267">
        <w:t>імідаклоприд – 15,0 мг;</w:t>
      </w:r>
    </w:p>
    <w:p w:rsidR="000E28A0" w:rsidRPr="006F7267" w:rsidRDefault="000E28A0" w:rsidP="006F7267">
      <w:pPr>
        <w:pStyle w:val="cs242d954b"/>
        <w:ind w:right="0" w:firstLine="567"/>
        <w:rPr>
          <w:rStyle w:val="cs5efed22f1"/>
        </w:rPr>
      </w:pPr>
      <w:r w:rsidRPr="006F7267">
        <w:t>люфенурон</w:t>
      </w:r>
      <w:r w:rsidRPr="006F7267">
        <w:rPr>
          <w:rStyle w:val="cs5efed22f1"/>
        </w:rPr>
        <w:t xml:space="preserve"> – 125,0 мг;</w:t>
      </w:r>
    </w:p>
    <w:p w:rsidR="000E28A0" w:rsidRPr="006F7267" w:rsidRDefault="000E28A0" w:rsidP="006F7267">
      <w:pPr>
        <w:ind w:firstLine="567"/>
        <w:jc w:val="both"/>
        <w:rPr>
          <w:lang w:val="uk-UA"/>
        </w:rPr>
      </w:pPr>
      <w:r w:rsidRPr="006F7267">
        <w:rPr>
          <w:lang w:val="uk-UA"/>
        </w:rPr>
        <w:t>мільбеміцину оксим – 3,75 мг.</w:t>
      </w:r>
    </w:p>
    <w:p w:rsidR="000E28A0" w:rsidRPr="00647211" w:rsidRDefault="000E28A0" w:rsidP="006F7267">
      <w:pPr>
        <w:ind w:firstLine="567"/>
        <w:jc w:val="both"/>
        <w:rPr>
          <w:lang w:val="uk-UA"/>
        </w:rPr>
      </w:pPr>
      <w:r w:rsidRPr="00647211">
        <w:rPr>
          <w:rStyle w:val="cs5efed22f1"/>
          <w:lang w:val="uk-UA"/>
        </w:rPr>
        <w:t xml:space="preserve">Допоміжні речовини: </w:t>
      </w:r>
      <w:r w:rsidRPr="00647211">
        <w:rPr>
          <w:lang w:val="en-US"/>
        </w:rPr>
        <w:t>DL</w:t>
      </w:r>
      <w:r w:rsidRPr="00647211">
        <w:rPr>
          <w:lang w:val="uk-UA"/>
        </w:rPr>
        <w:t xml:space="preserve">-метіонін, </w:t>
      </w:r>
      <w:r w:rsidRPr="00647211">
        <w:rPr>
          <w:rStyle w:val="cs5efed22f1"/>
          <w:rFonts w:eastAsia="Arial"/>
          <w:lang w:val="uk-UA"/>
        </w:rPr>
        <w:t xml:space="preserve">маніт, </w:t>
      </w:r>
      <w:r w:rsidRPr="00647211">
        <w:rPr>
          <w:lang w:val="uk-UA"/>
        </w:rPr>
        <w:t xml:space="preserve">кальцію стеарат, </w:t>
      </w:r>
      <w:r w:rsidRPr="00647211">
        <w:rPr>
          <w:bCs/>
          <w:lang w:val="uk-UA"/>
        </w:rPr>
        <w:t xml:space="preserve">гідроксипропілметилцелюлоза, </w:t>
      </w:r>
      <w:r w:rsidRPr="00647211">
        <w:rPr>
          <w:lang w:val="uk-UA"/>
        </w:rPr>
        <w:t xml:space="preserve"> мікрокристалічна целюлоза, </w:t>
      </w:r>
      <w:r w:rsidRPr="00647211">
        <w:rPr>
          <w:bCs/>
          <w:lang w:val="uk-UA"/>
        </w:rPr>
        <w:t xml:space="preserve">сушене </w:t>
      </w:r>
      <w:r w:rsidRPr="00647211">
        <w:rPr>
          <w:shd w:val="clear" w:color="auto" w:fill="FFFFFF"/>
          <w:lang w:val="uk-UA"/>
        </w:rPr>
        <w:t>куряче м'ясо</w:t>
      </w:r>
      <w:r w:rsidRPr="00647211">
        <w:rPr>
          <w:lang w:val="uk-UA"/>
        </w:rPr>
        <w:t>, барвник, крохмаль картопляний, лактоза.</w:t>
      </w:r>
    </w:p>
    <w:p w:rsidR="000E28A0" w:rsidRPr="00647211" w:rsidRDefault="007C1079" w:rsidP="006F7267">
      <w:pPr>
        <w:ind w:firstLine="567"/>
      </w:pPr>
      <w:r w:rsidRPr="00647211">
        <w:t xml:space="preserve">Препарат випускається </w:t>
      </w:r>
      <w:r w:rsidRPr="00647211">
        <w:rPr>
          <w:lang w:val="uk-UA"/>
        </w:rPr>
        <w:t>в</w:t>
      </w:r>
      <w:r w:rsidR="000E28A0" w:rsidRPr="00647211">
        <w:t xml:space="preserve"> </w:t>
      </w:r>
      <w:r w:rsidR="0014616E" w:rsidRPr="00647211">
        <w:rPr>
          <w:lang w:val="uk-UA"/>
        </w:rPr>
        <w:t>п’яти дозуваннях</w:t>
      </w:r>
      <w:r w:rsidR="000E28A0" w:rsidRPr="00647211">
        <w:t>:</w:t>
      </w:r>
    </w:p>
    <w:p w:rsidR="000E28A0" w:rsidRPr="00647211" w:rsidRDefault="000E28A0" w:rsidP="006F7267">
      <w:pPr>
        <w:ind w:firstLine="567"/>
        <w:jc w:val="both"/>
      </w:pPr>
      <w:r w:rsidRPr="00647211">
        <w:rPr>
          <w:lang w:val="uk-UA"/>
        </w:rPr>
        <w:t>PRIMERA VS (</w:t>
      </w:r>
      <w:r w:rsidRPr="00647211">
        <w:rPr>
          <w:color w:val="000000"/>
          <w:lang w:val="uk-UA"/>
        </w:rPr>
        <w:t>т</w:t>
      </w:r>
      <w:r w:rsidRPr="00647211">
        <w:rPr>
          <w:color w:val="000000"/>
        </w:rPr>
        <w:t xml:space="preserve">аблетка масою </w:t>
      </w:r>
      <w:r w:rsidRPr="00647211">
        <w:rPr>
          <w:color w:val="000000"/>
          <w:lang w:val="uk-UA"/>
        </w:rPr>
        <w:t>40</w:t>
      </w:r>
      <w:r w:rsidRPr="00647211">
        <w:rPr>
          <w:color w:val="000000"/>
        </w:rPr>
        <w:t>0 мг</w:t>
      </w:r>
      <w:r w:rsidRPr="00647211">
        <w:rPr>
          <w:color w:val="000000"/>
          <w:lang w:val="uk-UA"/>
        </w:rPr>
        <w:t>) –</w:t>
      </w:r>
      <w:r w:rsidRPr="00647211">
        <w:t xml:space="preserve"> імідаклоприд</w:t>
      </w:r>
      <w:r w:rsidRPr="00647211">
        <w:rPr>
          <w:lang w:val="uk-UA"/>
        </w:rPr>
        <w:t xml:space="preserve">у 6,0 мг, </w:t>
      </w:r>
      <w:r w:rsidRPr="00647211">
        <w:t xml:space="preserve"> </w:t>
      </w:r>
      <w:r w:rsidRPr="00647211">
        <w:rPr>
          <w:color w:val="000000"/>
        </w:rPr>
        <w:t>люфенурон</w:t>
      </w:r>
      <w:r w:rsidRPr="00647211">
        <w:rPr>
          <w:color w:val="000000"/>
          <w:lang w:val="uk-UA"/>
        </w:rPr>
        <w:t>у</w:t>
      </w:r>
      <w:r w:rsidRPr="00647211">
        <w:rPr>
          <w:color w:val="000000"/>
        </w:rPr>
        <w:t> </w:t>
      </w:r>
      <w:r w:rsidRPr="00647211">
        <w:rPr>
          <w:color w:val="000000"/>
          <w:lang w:val="uk-UA"/>
        </w:rPr>
        <w:t>50,0</w:t>
      </w:r>
      <w:r w:rsidRPr="00647211">
        <w:rPr>
          <w:color w:val="000000"/>
        </w:rPr>
        <w:t xml:space="preserve"> мг</w:t>
      </w:r>
      <w:r w:rsidRPr="00647211">
        <w:rPr>
          <w:lang w:val="uk-UA"/>
        </w:rPr>
        <w:t xml:space="preserve">, </w:t>
      </w:r>
      <w:r w:rsidRPr="00647211">
        <w:t>мільбеміцину оксим</w:t>
      </w:r>
      <w:r w:rsidRPr="00647211">
        <w:rPr>
          <w:lang w:val="uk-UA"/>
        </w:rPr>
        <w:t>у</w:t>
      </w:r>
      <w:r w:rsidRPr="00647211">
        <w:t xml:space="preserve"> – 1,5 м</w:t>
      </w:r>
      <w:r w:rsidRPr="00647211">
        <w:rPr>
          <w:lang w:val="uk-UA"/>
        </w:rPr>
        <w:t>г</w:t>
      </w:r>
      <w:r w:rsidRPr="00647211">
        <w:t>;</w:t>
      </w:r>
    </w:p>
    <w:p w:rsidR="000E28A0" w:rsidRPr="00647211" w:rsidRDefault="000E28A0" w:rsidP="006F7267">
      <w:pPr>
        <w:ind w:firstLine="567"/>
        <w:jc w:val="both"/>
      </w:pPr>
      <w:r w:rsidRPr="00647211">
        <w:rPr>
          <w:lang w:val="uk-UA"/>
        </w:rPr>
        <w:t>PRIMERA VS (</w:t>
      </w:r>
      <w:r w:rsidRPr="00647211">
        <w:rPr>
          <w:color w:val="000000"/>
          <w:lang w:val="uk-UA"/>
        </w:rPr>
        <w:t>т</w:t>
      </w:r>
      <w:r w:rsidRPr="00647211">
        <w:rPr>
          <w:color w:val="000000"/>
        </w:rPr>
        <w:t xml:space="preserve">аблетка масою </w:t>
      </w:r>
      <w:r w:rsidRPr="00647211">
        <w:rPr>
          <w:color w:val="000000"/>
          <w:lang w:val="uk-UA"/>
        </w:rPr>
        <w:t>80</w:t>
      </w:r>
      <w:r w:rsidRPr="00647211">
        <w:rPr>
          <w:color w:val="000000"/>
        </w:rPr>
        <w:t>0 мг</w:t>
      </w:r>
      <w:r w:rsidRPr="00647211">
        <w:rPr>
          <w:color w:val="000000"/>
          <w:lang w:val="uk-UA"/>
        </w:rPr>
        <w:t>) –</w:t>
      </w:r>
      <w:r w:rsidRPr="00647211">
        <w:t xml:space="preserve"> імідаклоприд</w:t>
      </w:r>
      <w:r w:rsidRPr="00647211">
        <w:rPr>
          <w:lang w:val="uk-UA"/>
        </w:rPr>
        <w:t xml:space="preserve">у 12,0 мг, </w:t>
      </w:r>
      <w:r w:rsidRPr="00647211">
        <w:t xml:space="preserve"> </w:t>
      </w:r>
      <w:r w:rsidRPr="00647211">
        <w:rPr>
          <w:color w:val="000000"/>
        </w:rPr>
        <w:t>люфенурон</w:t>
      </w:r>
      <w:r w:rsidRPr="00647211">
        <w:rPr>
          <w:color w:val="000000"/>
          <w:lang w:val="uk-UA"/>
        </w:rPr>
        <w:t>у</w:t>
      </w:r>
      <w:r w:rsidRPr="00647211">
        <w:rPr>
          <w:color w:val="000000"/>
        </w:rPr>
        <w:t> </w:t>
      </w:r>
      <w:r w:rsidRPr="00647211">
        <w:rPr>
          <w:color w:val="000000"/>
          <w:lang w:val="uk-UA"/>
        </w:rPr>
        <w:t>100,0</w:t>
      </w:r>
      <w:r w:rsidRPr="00647211">
        <w:rPr>
          <w:color w:val="000000"/>
        </w:rPr>
        <w:t xml:space="preserve"> мг</w:t>
      </w:r>
      <w:r w:rsidRPr="00647211">
        <w:rPr>
          <w:lang w:val="uk-UA"/>
        </w:rPr>
        <w:t xml:space="preserve">, </w:t>
      </w:r>
      <w:r w:rsidRPr="00647211">
        <w:t>мільбеміцину оксим</w:t>
      </w:r>
      <w:r w:rsidRPr="00647211">
        <w:rPr>
          <w:lang w:val="uk-UA"/>
        </w:rPr>
        <w:t>у</w:t>
      </w:r>
      <w:r w:rsidRPr="00647211">
        <w:t xml:space="preserve"> – </w:t>
      </w:r>
      <w:r w:rsidRPr="00647211">
        <w:rPr>
          <w:lang w:val="uk-UA"/>
        </w:rPr>
        <w:t>3,0</w:t>
      </w:r>
      <w:r w:rsidRPr="00647211">
        <w:t xml:space="preserve"> м</w:t>
      </w:r>
      <w:r w:rsidRPr="00647211">
        <w:rPr>
          <w:lang w:val="uk-UA"/>
        </w:rPr>
        <w:t>г</w:t>
      </w:r>
      <w:r w:rsidRPr="00647211">
        <w:t>;</w:t>
      </w:r>
    </w:p>
    <w:p w:rsidR="000E28A0" w:rsidRPr="00647211" w:rsidRDefault="000E28A0" w:rsidP="006F7267">
      <w:pPr>
        <w:ind w:firstLine="567"/>
        <w:jc w:val="both"/>
      </w:pPr>
      <w:r w:rsidRPr="00647211">
        <w:rPr>
          <w:lang w:val="uk-UA"/>
        </w:rPr>
        <w:t>PRIMERA VS (</w:t>
      </w:r>
      <w:r w:rsidRPr="00647211">
        <w:rPr>
          <w:color w:val="000000"/>
          <w:lang w:val="uk-UA"/>
        </w:rPr>
        <w:t>т</w:t>
      </w:r>
      <w:r w:rsidRPr="00647211">
        <w:rPr>
          <w:color w:val="000000"/>
        </w:rPr>
        <w:t xml:space="preserve">аблетка масою </w:t>
      </w:r>
      <w:r w:rsidRPr="00647211">
        <w:rPr>
          <w:color w:val="000000"/>
          <w:lang w:val="uk-UA"/>
        </w:rPr>
        <w:t>1,6 г) –</w:t>
      </w:r>
      <w:r w:rsidRPr="00647211">
        <w:t xml:space="preserve"> імідаклоприд</w:t>
      </w:r>
      <w:r w:rsidRPr="00647211">
        <w:rPr>
          <w:lang w:val="uk-UA"/>
        </w:rPr>
        <w:t xml:space="preserve">у 24,0 мг, </w:t>
      </w:r>
      <w:r w:rsidRPr="00647211">
        <w:t xml:space="preserve"> </w:t>
      </w:r>
      <w:r w:rsidRPr="00647211">
        <w:rPr>
          <w:color w:val="000000"/>
        </w:rPr>
        <w:t>люфенурон</w:t>
      </w:r>
      <w:r w:rsidRPr="00647211">
        <w:rPr>
          <w:color w:val="000000"/>
          <w:lang w:val="uk-UA"/>
        </w:rPr>
        <w:t>у</w:t>
      </w:r>
      <w:r w:rsidRPr="00647211">
        <w:rPr>
          <w:color w:val="000000"/>
        </w:rPr>
        <w:t> </w:t>
      </w:r>
      <w:r w:rsidRPr="00647211">
        <w:rPr>
          <w:color w:val="000000"/>
          <w:lang w:val="uk-UA"/>
        </w:rPr>
        <w:t>200,0</w:t>
      </w:r>
      <w:r w:rsidRPr="00647211">
        <w:rPr>
          <w:color w:val="000000"/>
        </w:rPr>
        <w:t xml:space="preserve"> мг</w:t>
      </w:r>
      <w:r w:rsidRPr="00647211">
        <w:rPr>
          <w:lang w:val="uk-UA"/>
        </w:rPr>
        <w:t xml:space="preserve">, </w:t>
      </w:r>
      <w:r w:rsidRPr="00647211">
        <w:t>мільбеміцину оксим</w:t>
      </w:r>
      <w:r w:rsidRPr="00647211">
        <w:rPr>
          <w:lang w:val="uk-UA"/>
        </w:rPr>
        <w:t>у</w:t>
      </w:r>
      <w:r w:rsidRPr="00647211">
        <w:t xml:space="preserve"> – </w:t>
      </w:r>
      <w:r w:rsidRPr="00647211">
        <w:rPr>
          <w:lang w:val="uk-UA"/>
        </w:rPr>
        <w:t>6,0</w:t>
      </w:r>
      <w:r w:rsidRPr="00647211">
        <w:t xml:space="preserve"> м</w:t>
      </w:r>
      <w:r w:rsidRPr="00647211">
        <w:rPr>
          <w:lang w:val="uk-UA"/>
        </w:rPr>
        <w:t>г</w:t>
      </w:r>
      <w:r w:rsidRPr="00647211">
        <w:t>;</w:t>
      </w:r>
    </w:p>
    <w:p w:rsidR="000E28A0" w:rsidRPr="00647211" w:rsidRDefault="000E28A0" w:rsidP="006F7267">
      <w:pPr>
        <w:ind w:firstLine="567"/>
        <w:jc w:val="both"/>
      </w:pPr>
      <w:r w:rsidRPr="00647211">
        <w:rPr>
          <w:lang w:val="uk-UA"/>
        </w:rPr>
        <w:t>PRIMERA VS (</w:t>
      </w:r>
      <w:r w:rsidRPr="00647211">
        <w:rPr>
          <w:color w:val="000000"/>
          <w:lang w:val="uk-UA"/>
        </w:rPr>
        <w:t>т</w:t>
      </w:r>
      <w:r w:rsidRPr="00647211">
        <w:rPr>
          <w:color w:val="000000"/>
        </w:rPr>
        <w:t xml:space="preserve">аблетка масою </w:t>
      </w:r>
      <w:r w:rsidRPr="00647211">
        <w:rPr>
          <w:color w:val="000000"/>
          <w:lang w:val="uk-UA"/>
        </w:rPr>
        <w:t>3,2 г) –</w:t>
      </w:r>
      <w:r w:rsidRPr="00647211">
        <w:t xml:space="preserve"> імідаклоприд</w:t>
      </w:r>
      <w:r w:rsidRPr="00647211">
        <w:rPr>
          <w:lang w:val="uk-UA"/>
        </w:rPr>
        <w:t xml:space="preserve">у 48,0 мг, </w:t>
      </w:r>
      <w:r w:rsidRPr="00647211">
        <w:t xml:space="preserve"> </w:t>
      </w:r>
      <w:r w:rsidRPr="00647211">
        <w:rPr>
          <w:color w:val="000000"/>
        </w:rPr>
        <w:t>люфенурон</w:t>
      </w:r>
      <w:r w:rsidRPr="00647211">
        <w:rPr>
          <w:color w:val="000000"/>
          <w:lang w:val="uk-UA"/>
        </w:rPr>
        <w:t>у</w:t>
      </w:r>
      <w:r w:rsidRPr="00647211">
        <w:rPr>
          <w:color w:val="000000"/>
        </w:rPr>
        <w:t> </w:t>
      </w:r>
      <w:r w:rsidRPr="00647211">
        <w:rPr>
          <w:color w:val="000000"/>
          <w:lang w:val="uk-UA"/>
        </w:rPr>
        <w:t>400,0</w:t>
      </w:r>
      <w:r w:rsidRPr="00647211">
        <w:rPr>
          <w:color w:val="000000"/>
        </w:rPr>
        <w:t xml:space="preserve"> мг</w:t>
      </w:r>
      <w:r w:rsidRPr="00647211">
        <w:rPr>
          <w:lang w:val="uk-UA"/>
        </w:rPr>
        <w:t xml:space="preserve">, </w:t>
      </w:r>
      <w:r w:rsidRPr="00647211">
        <w:t>мільбеміцину оксим</w:t>
      </w:r>
      <w:r w:rsidRPr="00647211">
        <w:rPr>
          <w:lang w:val="uk-UA"/>
        </w:rPr>
        <w:t>у</w:t>
      </w:r>
      <w:r w:rsidRPr="00647211">
        <w:t xml:space="preserve"> – </w:t>
      </w:r>
      <w:r w:rsidRPr="00647211">
        <w:rPr>
          <w:lang w:val="uk-UA"/>
        </w:rPr>
        <w:t>12,0</w:t>
      </w:r>
      <w:r w:rsidRPr="00647211">
        <w:t xml:space="preserve"> м</w:t>
      </w:r>
      <w:r w:rsidRPr="00647211">
        <w:rPr>
          <w:lang w:val="uk-UA"/>
        </w:rPr>
        <w:t>г</w:t>
      </w:r>
      <w:r w:rsidRPr="00647211">
        <w:t>;</w:t>
      </w:r>
    </w:p>
    <w:p w:rsidR="000E28A0" w:rsidRPr="00647211" w:rsidRDefault="000E28A0" w:rsidP="006F7267">
      <w:pPr>
        <w:ind w:firstLine="567"/>
        <w:jc w:val="both"/>
        <w:rPr>
          <w:lang w:val="uk-UA"/>
        </w:rPr>
      </w:pPr>
      <w:r w:rsidRPr="00647211">
        <w:rPr>
          <w:lang w:val="uk-UA"/>
        </w:rPr>
        <w:t>PRIMERA VS (</w:t>
      </w:r>
      <w:r w:rsidRPr="00647211">
        <w:rPr>
          <w:color w:val="000000"/>
          <w:lang w:val="uk-UA"/>
        </w:rPr>
        <w:t>т</w:t>
      </w:r>
      <w:r w:rsidRPr="00647211">
        <w:rPr>
          <w:color w:val="000000"/>
        </w:rPr>
        <w:t xml:space="preserve">аблетка масою </w:t>
      </w:r>
      <w:r w:rsidRPr="00647211">
        <w:rPr>
          <w:color w:val="000000"/>
          <w:lang w:val="uk-UA"/>
        </w:rPr>
        <w:t>4,8 г) –</w:t>
      </w:r>
      <w:r w:rsidRPr="00647211">
        <w:t xml:space="preserve"> імідаклоприд</w:t>
      </w:r>
      <w:r w:rsidRPr="00647211">
        <w:rPr>
          <w:lang w:val="uk-UA"/>
        </w:rPr>
        <w:t xml:space="preserve">у 72,0 мг, </w:t>
      </w:r>
      <w:r w:rsidRPr="00647211">
        <w:t xml:space="preserve"> </w:t>
      </w:r>
      <w:r w:rsidRPr="00647211">
        <w:rPr>
          <w:color w:val="000000"/>
        </w:rPr>
        <w:t>люфенурон</w:t>
      </w:r>
      <w:r w:rsidRPr="00647211">
        <w:rPr>
          <w:color w:val="000000"/>
          <w:lang w:val="uk-UA"/>
        </w:rPr>
        <w:t>у</w:t>
      </w:r>
      <w:r w:rsidRPr="00647211">
        <w:rPr>
          <w:color w:val="000000"/>
        </w:rPr>
        <w:t> </w:t>
      </w:r>
      <w:r w:rsidRPr="00647211">
        <w:rPr>
          <w:color w:val="000000"/>
          <w:lang w:val="uk-UA"/>
        </w:rPr>
        <w:t>600,0</w:t>
      </w:r>
      <w:r w:rsidRPr="00647211">
        <w:rPr>
          <w:color w:val="000000"/>
        </w:rPr>
        <w:t xml:space="preserve"> мг</w:t>
      </w:r>
      <w:r w:rsidRPr="00647211">
        <w:rPr>
          <w:lang w:val="uk-UA"/>
        </w:rPr>
        <w:t xml:space="preserve">, </w:t>
      </w:r>
      <w:r w:rsidRPr="00647211">
        <w:t>мільбеміцину оксим</w:t>
      </w:r>
      <w:r w:rsidRPr="00647211">
        <w:rPr>
          <w:lang w:val="uk-UA"/>
        </w:rPr>
        <w:t>у</w:t>
      </w:r>
      <w:r w:rsidRPr="00647211">
        <w:t xml:space="preserve"> – </w:t>
      </w:r>
      <w:r w:rsidRPr="00647211">
        <w:rPr>
          <w:lang w:val="uk-UA"/>
        </w:rPr>
        <w:t>18,0</w:t>
      </w:r>
      <w:r w:rsidRPr="00647211">
        <w:t xml:space="preserve"> м</w:t>
      </w:r>
      <w:r w:rsidRPr="00647211">
        <w:rPr>
          <w:lang w:val="uk-UA"/>
        </w:rPr>
        <w:t>г.</w:t>
      </w:r>
    </w:p>
    <w:p w:rsidR="000E28A0" w:rsidRPr="00647211" w:rsidRDefault="000E28A0" w:rsidP="006F7267">
      <w:pPr>
        <w:ind w:firstLine="567"/>
        <w:jc w:val="both"/>
        <w:rPr>
          <w:b/>
          <w:lang w:val="uk-UA"/>
        </w:rPr>
      </w:pPr>
      <w:r w:rsidRPr="00647211">
        <w:rPr>
          <w:b/>
          <w:lang w:val="uk-UA"/>
        </w:rPr>
        <w:t>3. Фармацевтична форма</w:t>
      </w:r>
    </w:p>
    <w:p w:rsidR="000E28A0" w:rsidRPr="00647211" w:rsidRDefault="000E28A0" w:rsidP="006F7267">
      <w:pPr>
        <w:ind w:firstLine="567"/>
        <w:jc w:val="both"/>
        <w:rPr>
          <w:b/>
          <w:lang w:val="uk-UA"/>
        </w:rPr>
      </w:pPr>
      <w:r w:rsidRPr="00647211">
        <w:rPr>
          <w:lang w:val="uk-UA"/>
        </w:rPr>
        <w:t>Таблетки.</w:t>
      </w:r>
    </w:p>
    <w:p w:rsidR="000E28A0" w:rsidRPr="00647211" w:rsidRDefault="000E28A0" w:rsidP="006F7267">
      <w:pPr>
        <w:ind w:firstLine="567"/>
        <w:jc w:val="both"/>
        <w:rPr>
          <w:b/>
          <w:lang w:val="uk-UA"/>
        </w:rPr>
      </w:pPr>
      <w:r w:rsidRPr="00647211">
        <w:rPr>
          <w:b/>
          <w:lang w:val="uk-UA"/>
        </w:rPr>
        <w:t>4. Фармакологічні властивості</w:t>
      </w:r>
    </w:p>
    <w:p w:rsidR="000E28A0" w:rsidRPr="00647211" w:rsidRDefault="000E28A0" w:rsidP="006F7267">
      <w:pPr>
        <w:ind w:firstLine="567"/>
        <w:jc w:val="both"/>
        <w:rPr>
          <w:b/>
          <w:i/>
          <w:lang w:val="uk-UA"/>
        </w:rPr>
      </w:pPr>
      <w:r w:rsidRPr="00647211">
        <w:rPr>
          <w:rStyle w:val="cs8f3868831"/>
        </w:rPr>
        <w:t>ATC</w:t>
      </w:r>
      <w:r w:rsidRPr="00647211">
        <w:rPr>
          <w:rStyle w:val="cs8f3868831"/>
          <w:lang w:val="uk-UA"/>
        </w:rPr>
        <w:t xml:space="preserve"> </w:t>
      </w:r>
      <w:r w:rsidRPr="00647211">
        <w:rPr>
          <w:rStyle w:val="cs8f3868831"/>
        </w:rPr>
        <w:t>vet</w:t>
      </w:r>
      <w:r w:rsidRPr="00647211">
        <w:rPr>
          <w:rStyle w:val="cs8f3868831"/>
          <w:lang w:val="uk-UA"/>
        </w:rPr>
        <w:t xml:space="preserve"> </w:t>
      </w:r>
      <w:r w:rsidRPr="00647211">
        <w:rPr>
          <w:rStyle w:val="cs8f3868831"/>
        </w:rPr>
        <w:t>QP</w:t>
      </w:r>
      <w:r w:rsidRPr="00647211">
        <w:rPr>
          <w:rStyle w:val="cs8f3868831"/>
          <w:lang w:val="uk-UA"/>
        </w:rPr>
        <w:t>53, ектопаразитициди, інсектициди і репеленти</w:t>
      </w:r>
      <w:r w:rsidRPr="00647211">
        <w:rPr>
          <w:lang w:val="uk-UA"/>
        </w:rPr>
        <w:t xml:space="preserve"> (</w:t>
      </w:r>
      <w:r w:rsidRPr="00647211">
        <w:rPr>
          <w:rStyle w:val="cs8f3868831"/>
        </w:rPr>
        <w:t>QP</w:t>
      </w:r>
      <w:r w:rsidRPr="00647211">
        <w:rPr>
          <w:rStyle w:val="cs8f3868831"/>
          <w:lang w:val="uk-UA"/>
        </w:rPr>
        <w:t>53</w:t>
      </w:r>
      <w:r w:rsidRPr="00647211">
        <w:rPr>
          <w:rStyle w:val="cs8f3868831"/>
        </w:rPr>
        <w:t>A</w:t>
      </w:r>
      <w:r w:rsidRPr="00647211">
        <w:rPr>
          <w:rStyle w:val="cs8f3868831"/>
          <w:lang w:val="uk-UA"/>
        </w:rPr>
        <w:t>Х17 імідаклоприд</w:t>
      </w:r>
      <w:r w:rsidRPr="00647211">
        <w:rPr>
          <w:b/>
          <w:i/>
          <w:lang w:val="uk-UA"/>
        </w:rPr>
        <w:t>,</w:t>
      </w:r>
      <w:r w:rsidRPr="00647211">
        <w:rPr>
          <w:rStyle w:val="cs8f3868831"/>
          <w:lang w:val="uk-UA"/>
        </w:rPr>
        <w:t xml:space="preserve"> </w:t>
      </w:r>
      <w:r w:rsidRPr="00647211">
        <w:rPr>
          <w:b/>
          <w:i/>
        </w:rPr>
        <w:t>QP</w:t>
      </w:r>
      <w:r w:rsidRPr="00647211">
        <w:rPr>
          <w:b/>
          <w:i/>
          <w:lang w:val="uk-UA"/>
        </w:rPr>
        <w:t xml:space="preserve">53СВ01 люфенурон, </w:t>
      </w:r>
      <w:r w:rsidRPr="00647211">
        <w:rPr>
          <w:b/>
          <w:i/>
          <w:lang w:val="en-US"/>
        </w:rPr>
        <w:t>QP</w:t>
      </w:r>
      <w:r w:rsidRPr="00647211">
        <w:rPr>
          <w:b/>
          <w:i/>
          <w:lang w:val="uk-UA"/>
        </w:rPr>
        <w:t>54</w:t>
      </w:r>
      <w:r w:rsidRPr="00647211">
        <w:rPr>
          <w:b/>
          <w:i/>
          <w:lang w:val="en-US"/>
        </w:rPr>
        <w:t>AB</w:t>
      </w:r>
      <w:r w:rsidRPr="00647211">
        <w:rPr>
          <w:b/>
          <w:i/>
          <w:lang w:val="uk-UA"/>
        </w:rPr>
        <w:t>01 мільбеміцину оксим).</w:t>
      </w:r>
    </w:p>
    <w:p w:rsidR="000E28A0" w:rsidRPr="00647211" w:rsidRDefault="000E28A0" w:rsidP="006F7267">
      <w:pPr>
        <w:ind w:firstLine="567"/>
        <w:jc w:val="both"/>
      </w:pPr>
      <w:r w:rsidRPr="00647211">
        <w:t>PRIMERA VS</w:t>
      </w:r>
      <w:r w:rsidRPr="00647211">
        <w:rPr>
          <w:lang w:val="uk-UA"/>
        </w:rPr>
        <w:t xml:space="preserve"> </w:t>
      </w:r>
      <w:r w:rsidRPr="00647211">
        <w:t xml:space="preserve">- протипаразитарні таблетки, що застосовуються для профілактики та лікування собак за змішаних паразитарних інвазій. </w:t>
      </w:r>
    </w:p>
    <w:p w:rsidR="000E28A0" w:rsidRPr="00647211" w:rsidRDefault="000E28A0" w:rsidP="006F7267">
      <w:pPr>
        <w:ind w:firstLine="567"/>
        <w:jc w:val="both"/>
      </w:pPr>
      <w:r w:rsidRPr="00647211">
        <w:rPr>
          <w:i/>
        </w:rPr>
        <w:t>Імідаклоприд</w:t>
      </w:r>
      <w:r w:rsidRPr="00647211">
        <w:t xml:space="preserve"> - є ектопаразитицидом, що належить до класу нітрометилен-гетероциклічних сполук. Імідаклоприд має високу спорідненість до нікотинових ацетилхолінових рецепторів у постсинаптичних ділянках центральної нервової системи (ЦНС). Він взаємодіє з нікотинергічним рецептором ектопаразита, розміщеним на постсинаптичному нейроні, порушує передачу нервового імпульсу по ньому та призводить до паралічу та загибелі ектопаразита. Імідаклоприд ефективний проти личинок та імаго бліх. Через слабку взаємодію з нікотиновими рецепторами ссавців та низький рівень проникнення через їх гематоенцефалічний бар'єр діюча речовина практично не впливає на ЦНС ссавців.</w:t>
      </w:r>
    </w:p>
    <w:p w:rsidR="000E28A0" w:rsidRPr="00647211" w:rsidRDefault="000E28A0" w:rsidP="006F7267">
      <w:pPr>
        <w:pStyle w:val="12"/>
        <w:spacing w:after="0" w:line="240" w:lineRule="auto"/>
        <w:ind w:firstLine="567"/>
        <w:jc w:val="both"/>
        <w:rPr>
          <w:rFonts w:ascii="Times New Roman" w:hAnsi="Times New Roman"/>
          <w:spacing w:val="2"/>
          <w:sz w:val="24"/>
          <w:szCs w:val="24"/>
        </w:rPr>
      </w:pPr>
      <w:r w:rsidRPr="00647211">
        <w:rPr>
          <w:rFonts w:ascii="Times New Roman" w:hAnsi="Times New Roman"/>
          <w:i/>
          <w:sz w:val="24"/>
          <w:szCs w:val="24"/>
        </w:rPr>
        <w:t>Люфенурон</w:t>
      </w:r>
      <w:r w:rsidRPr="00647211">
        <w:rPr>
          <w:rFonts w:ascii="Times New Roman" w:hAnsi="Times New Roman"/>
          <w:sz w:val="24"/>
          <w:szCs w:val="24"/>
        </w:rPr>
        <w:t xml:space="preserve"> </w:t>
      </w:r>
      <w:r w:rsidRPr="00647211">
        <w:rPr>
          <w:rStyle w:val="csa62dfd6a2"/>
          <w:i w:val="0"/>
        </w:rPr>
        <w:t>відноситься до</w:t>
      </w:r>
      <w:r w:rsidRPr="00647211">
        <w:rPr>
          <w:rStyle w:val="csa62dfd6a2"/>
        </w:rPr>
        <w:t xml:space="preserve"> </w:t>
      </w:r>
      <w:r w:rsidRPr="00647211">
        <w:rPr>
          <w:rFonts w:ascii="Times New Roman" w:hAnsi="Times New Roman"/>
          <w:sz w:val="24"/>
          <w:szCs w:val="24"/>
        </w:rPr>
        <w:t xml:space="preserve">групи бензоілфенілсечовини, це інсектицид широкого спектру дії, особливо активний проти бліх видів </w:t>
      </w:r>
      <w:r w:rsidRPr="00647211">
        <w:rPr>
          <w:rStyle w:val="csa62dfd6a2"/>
        </w:rPr>
        <w:t xml:space="preserve">Ctenocephalides spp., Pulex irritans </w:t>
      </w:r>
      <w:r w:rsidRPr="00647211">
        <w:rPr>
          <w:rStyle w:val="csa62dfd6a2"/>
          <w:i w:val="0"/>
        </w:rPr>
        <w:t>та</w:t>
      </w:r>
      <w:r w:rsidRPr="00647211">
        <w:rPr>
          <w:rFonts w:ascii="Times New Roman" w:hAnsi="Times New Roman"/>
          <w:b/>
          <w:i/>
          <w:sz w:val="24"/>
          <w:szCs w:val="24"/>
        </w:rPr>
        <w:t xml:space="preserve"> </w:t>
      </w:r>
      <w:r w:rsidRPr="00647211">
        <w:rPr>
          <w:rFonts w:ascii="Times New Roman" w:hAnsi="Times New Roman"/>
          <w:sz w:val="24"/>
          <w:szCs w:val="24"/>
        </w:rPr>
        <w:t>виявляє підвищену ларвоцидну і контактну овоцидну активність</w:t>
      </w:r>
      <w:r w:rsidRPr="00647211">
        <w:rPr>
          <w:rFonts w:ascii="Times New Roman" w:hAnsi="Times New Roman"/>
          <w:b/>
          <w:sz w:val="24"/>
          <w:szCs w:val="24"/>
        </w:rPr>
        <w:t xml:space="preserve">. </w:t>
      </w:r>
      <w:r w:rsidRPr="00647211">
        <w:rPr>
          <w:rStyle w:val="cs5efed22f2"/>
        </w:rPr>
        <w:t xml:space="preserve">Механізм дії полягає </w:t>
      </w:r>
      <w:r w:rsidR="008C5278" w:rsidRPr="00647211">
        <w:rPr>
          <w:rStyle w:val="cs5efed22f2"/>
        </w:rPr>
        <w:t>в</w:t>
      </w:r>
      <w:r w:rsidRPr="00647211">
        <w:rPr>
          <w:rStyle w:val="cs5efed22f2"/>
        </w:rPr>
        <w:t xml:space="preserve"> блокуванні</w:t>
      </w:r>
      <w:r w:rsidRPr="00647211">
        <w:rPr>
          <w:rFonts w:ascii="Times New Roman" w:hAnsi="Times New Roman"/>
          <w:sz w:val="24"/>
          <w:szCs w:val="24"/>
        </w:rPr>
        <w:t xml:space="preserve"> синтезу хітину, що є основним компонентом </w:t>
      </w:r>
      <w:r w:rsidRPr="00647211">
        <w:rPr>
          <w:rFonts w:ascii="Times New Roman" w:hAnsi="Times New Roman"/>
          <w:spacing w:val="2"/>
          <w:sz w:val="24"/>
          <w:szCs w:val="24"/>
        </w:rPr>
        <w:t>екзоскелетів</w:t>
      </w:r>
      <w:r w:rsidRPr="00647211">
        <w:rPr>
          <w:rFonts w:ascii="Times New Roman" w:hAnsi="Times New Roman"/>
          <w:sz w:val="24"/>
          <w:szCs w:val="24"/>
        </w:rPr>
        <w:t xml:space="preserve"> комах, тому личинки при линьці не можуть сформувати нову</w:t>
      </w:r>
      <w:r w:rsidRPr="00647211">
        <w:rPr>
          <w:rFonts w:ascii="Times New Roman" w:hAnsi="Times New Roman"/>
          <w:sz w:val="24"/>
          <w:szCs w:val="24"/>
          <w:lang w:val="ru-RU"/>
        </w:rPr>
        <w:t xml:space="preserve"> </w:t>
      </w:r>
      <w:r w:rsidRPr="00647211">
        <w:rPr>
          <w:rFonts w:ascii="Times New Roman" w:hAnsi="Times New Roman"/>
          <w:sz w:val="24"/>
          <w:szCs w:val="24"/>
        </w:rPr>
        <w:t xml:space="preserve">кутикулу і гинуть. </w:t>
      </w:r>
      <w:r w:rsidRPr="00647211">
        <w:rPr>
          <w:rStyle w:val="a6"/>
          <w:rFonts w:ascii="Times New Roman" w:hAnsi="Times New Roman"/>
          <w:b w:val="0"/>
          <w:i w:val="0"/>
          <w:sz w:val="24"/>
          <w:szCs w:val="24"/>
        </w:rPr>
        <w:t>Потрапляючи в організм комах з кров'ю тварини, потім в їх</w:t>
      </w:r>
      <w:r w:rsidR="008C5278" w:rsidRPr="00647211">
        <w:rPr>
          <w:rStyle w:val="a6"/>
          <w:rFonts w:ascii="Times New Roman" w:hAnsi="Times New Roman"/>
          <w:b w:val="0"/>
          <w:i w:val="0"/>
          <w:sz w:val="24"/>
          <w:szCs w:val="24"/>
        </w:rPr>
        <w:t>ні</w:t>
      </w:r>
      <w:r w:rsidRPr="00647211">
        <w:rPr>
          <w:rStyle w:val="a6"/>
          <w:rFonts w:ascii="Times New Roman" w:hAnsi="Times New Roman"/>
          <w:b w:val="0"/>
          <w:i w:val="0"/>
          <w:sz w:val="24"/>
          <w:szCs w:val="24"/>
        </w:rPr>
        <w:t xml:space="preserve"> яйця, люфенурон блокує процес формування хітину, личинки гинуть </w:t>
      </w:r>
      <w:r w:rsidR="008C5278" w:rsidRPr="00647211">
        <w:rPr>
          <w:rStyle w:val="a6"/>
          <w:rFonts w:ascii="Times New Roman" w:hAnsi="Times New Roman"/>
          <w:b w:val="0"/>
          <w:i w:val="0"/>
          <w:sz w:val="24"/>
          <w:szCs w:val="24"/>
        </w:rPr>
        <w:t>у</w:t>
      </w:r>
      <w:r w:rsidRPr="00647211">
        <w:rPr>
          <w:rStyle w:val="a6"/>
          <w:rFonts w:ascii="Times New Roman" w:hAnsi="Times New Roman"/>
          <w:b w:val="0"/>
          <w:i w:val="0"/>
          <w:sz w:val="24"/>
          <w:szCs w:val="24"/>
        </w:rPr>
        <w:t xml:space="preserve"> результаті порушення процесів формування кутикули і, таким чином, запобігає появі наступного покоління бліх.</w:t>
      </w:r>
      <w:r w:rsidRPr="00647211">
        <w:rPr>
          <w:rFonts w:ascii="Times New Roman" w:hAnsi="Times New Roman"/>
          <w:spacing w:val="2"/>
          <w:sz w:val="24"/>
          <w:szCs w:val="24"/>
        </w:rPr>
        <w:t xml:space="preserve">  Хоча він не впливає на дорослих бліх</w:t>
      </w:r>
      <w:r w:rsidRPr="00647211">
        <w:rPr>
          <w:rFonts w:ascii="Times New Roman" w:hAnsi="Times New Roman"/>
          <w:b/>
          <w:spacing w:val="2"/>
          <w:sz w:val="24"/>
          <w:szCs w:val="24"/>
        </w:rPr>
        <w:t>,</w:t>
      </w:r>
      <w:r w:rsidRPr="00647211">
        <w:rPr>
          <w:rFonts w:ascii="Times New Roman" w:hAnsi="Times New Roman"/>
          <w:spacing w:val="2"/>
          <w:sz w:val="24"/>
          <w:szCs w:val="24"/>
        </w:rPr>
        <w:t xml:space="preserve"> він запобігає розвитку проміжних стадій життєвого циклу бліх (яєць, личинок, лялечок). </w:t>
      </w:r>
    </w:p>
    <w:p w:rsidR="000E28A0" w:rsidRPr="00647211" w:rsidRDefault="000E28A0" w:rsidP="006F7267">
      <w:pPr>
        <w:ind w:firstLine="567"/>
        <w:jc w:val="both"/>
        <w:rPr>
          <w:lang w:val="uk-UA"/>
        </w:rPr>
      </w:pPr>
      <w:r w:rsidRPr="00647211">
        <w:rPr>
          <w:i/>
          <w:lang w:val="uk-UA"/>
        </w:rPr>
        <w:lastRenderedPageBreak/>
        <w:t>Мільбеміцину оксим</w:t>
      </w:r>
      <w:r w:rsidRPr="00647211">
        <w:rPr>
          <w:lang w:val="uk-UA"/>
        </w:rPr>
        <w:t xml:space="preserve"> – макроциклічний лактон другого покоління мільбеміцинів, сполука продуктів біосинтезу виду</w:t>
      </w:r>
      <w:r w:rsidRPr="00647211">
        <w:rPr>
          <w:i/>
          <w:lang w:val="uk-UA"/>
        </w:rPr>
        <w:t xml:space="preserve"> </w:t>
      </w:r>
      <w:r w:rsidRPr="00647211">
        <w:rPr>
          <w:i/>
        </w:rPr>
        <w:t>Streptomyces</w:t>
      </w:r>
      <w:r w:rsidRPr="00647211">
        <w:rPr>
          <w:i/>
          <w:lang w:val="uk-UA"/>
        </w:rPr>
        <w:t xml:space="preserve"> </w:t>
      </w:r>
      <w:r w:rsidRPr="00647211">
        <w:rPr>
          <w:i/>
        </w:rPr>
        <w:t>hygroscopicus</w:t>
      </w:r>
      <w:r w:rsidRPr="00647211">
        <w:rPr>
          <w:i/>
          <w:lang w:val="uk-UA"/>
        </w:rPr>
        <w:t xml:space="preserve"> </w:t>
      </w:r>
      <w:r w:rsidRPr="00647211">
        <w:rPr>
          <w:i/>
        </w:rPr>
        <w:t>var</w:t>
      </w:r>
      <w:r w:rsidRPr="00647211">
        <w:rPr>
          <w:i/>
          <w:lang w:val="uk-UA"/>
        </w:rPr>
        <w:t>. а</w:t>
      </w:r>
      <w:r w:rsidRPr="00647211">
        <w:rPr>
          <w:i/>
        </w:rPr>
        <w:t>ureolacrimosus</w:t>
      </w:r>
      <w:r w:rsidRPr="00647211">
        <w:rPr>
          <w:i/>
          <w:lang w:val="uk-UA"/>
        </w:rPr>
        <w:t xml:space="preserve">. </w:t>
      </w:r>
      <w:r w:rsidRPr="00647211">
        <w:rPr>
          <w:lang w:val="uk-UA"/>
        </w:rPr>
        <w:t xml:space="preserve">Мільбеміцину оксим </w:t>
      </w:r>
      <w:r w:rsidRPr="00647211">
        <w:rPr>
          <w:rStyle w:val="cs5efed22f2"/>
          <w:lang w:val="uk-UA"/>
        </w:rPr>
        <w:t>проявляє широкий спектр системної дії</w:t>
      </w:r>
      <w:r w:rsidRPr="00647211">
        <w:rPr>
          <w:lang w:val="uk-UA"/>
        </w:rPr>
        <w:t xml:space="preserve"> на екто- та ендопаразитів (</w:t>
      </w:r>
      <w:r w:rsidRPr="00647211">
        <w:rPr>
          <w:rStyle w:val="cs5efed22f2"/>
          <w:lang w:val="uk-UA"/>
        </w:rPr>
        <w:t>інсектицид, акарицид, нематодоцид, ларвоцид, овоцид)</w:t>
      </w:r>
      <w:r w:rsidRPr="00647211">
        <w:rPr>
          <w:lang w:val="uk-UA"/>
        </w:rPr>
        <w:t xml:space="preserve"> собак. Механізм дії на організм паразита полягає </w:t>
      </w:r>
      <w:r w:rsidR="000277E1" w:rsidRPr="00647211">
        <w:rPr>
          <w:lang w:val="uk-UA"/>
        </w:rPr>
        <w:t>в</w:t>
      </w:r>
      <w:r w:rsidRPr="00647211">
        <w:rPr>
          <w:lang w:val="uk-UA"/>
        </w:rPr>
        <w:t xml:space="preserve"> тому, що мільбеміцину оксим стимулює виділення нейромедіатора гальмування гамма-аміномасляної кислоти (ГАМК), у результаті чого відбувається блокування передачі нервових імпульсів через інтернейрони вентрального нервового стовбура нематод та нервово-м’язові сполучення членистоногих, що призводить до паралічу та загибелі паразитів. Мільбеміцину оксим активний щодо дорослих та молодих особин </w:t>
      </w:r>
      <w:r w:rsidRPr="00647211">
        <w:rPr>
          <w:i/>
        </w:rPr>
        <w:t>Toxocara</w:t>
      </w:r>
      <w:r w:rsidRPr="00647211">
        <w:rPr>
          <w:i/>
          <w:lang w:val="uk-UA"/>
        </w:rPr>
        <w:t xml:space="preserve"> </w:t>
      </w:r>
      <w:r w:rsidRPr="00647211">
        <w:rPr>
          <w:i/>
        </w:rPr>
        <w:t>canis</w:t>
      </w:r>
      <w:r w:rsidRPr="00647211">
        <w:rPr>
          <w:i/>
          <w:lang w:val="uk-UA"/>
        </w:rPr>
        <w:t xml:space="preserve">, </w:t>
      </w:r>
      <w:r w:rsidRPr="00647211">
        <w:rPr>
          <w:i/>
        </w:rPr>
        <w:t>Uncinaria</w:t>
      </w:r>
      <w:r w:rsidRPr="00647211">
        <w:rPr>
          <w:i/>
          <w:lang w:val="uk-UA"/>
        </w:rPr>
        <w:t xml:space="preserve"> </w:t>
      </w:r>
      <w:r w:rsidRPr="00647211">
        <w:rPr>
          <w:i/>
        </w:rPr>
        <w:t>spp</w:t>
      </w:r>
      <w:r w:rsidRPr="00647211">
        <w:rPr>
          <w:i/>
          <w:lang w:val="uk-UA"/>
        </w:rPr>
        <w:t xml:space="preserve">., </w:t>
      </w:r>
      <w:r w:rsidRPr="00647211">
        <w:rPr>
          <w:i/>
        </w:rPr>
        <w:t>Ancylostoma</w:t>
      </w:r>
      <w:r w:rsidRPr="00647211">
        <w:rPr>
          <w:i/>
          <w:lang w:val="uk-UA"/>
        </w:rPr>
        <w:t xml:space="preserve"> </w:t>
      </w:r>
      <w:r w:rsidRPr="00647211">
        <w:rPr>
          <w:i/>
        </w:rPr>
        <w:t>spp</w:t>
      </w:r>
      <w:r w:rsidRPr="00647211">
        <w:rPr>
          <w:lang w:val="uk-UA"/>
        </w:rPr>
        <w:t>. і їх личинок (</w:t>
      </w:r>
      <w:r w:rsidRPr="00647211">
        <w:rPr>
          <w:i/>
        </w:rPr>
        <w:t>L</w:t>
      </w:r>
      <w:r w:rsidRPr="00647211">
        <w:rPr>
          <w:i/>
          <w:lang w:val="uk-UA"/>
        </w:rPr>
        <w:t xml:space="preserve">4, </w:t>
      </w:r>
      <w:r w:rsidRPr="00647211">
        <w:rPr>
          <w:i/>
        </w:rPr>
        <w:t>L</w:t>
      </w:r>
      <w:r w:rsidRPr="00647211">
        <w:rPr>
          <w:i/>
          <w:lang w:val="uk-UA"/>
        </w:rPr>
        <w:t>5</w:t>
      </w:r>
      <w:r w:rsidRPr="00647211">
        <w:rPr>
          <w:lang w:val="uk-UA"/>
        </w:rPr>
        <w:t>), а також личинок (</w:t>
      </w:r>
      <w:r w:rsidRPr="00647211">
        <w:rPr>
          <w:i/>
        </w:rPr>
        <w:t>L</w:t>
      </w:r>
      <w:r w:rsidRPr="00647211">
        <w:rPr>
          <w:i/>
          <w:lang w:val="uk-UA"/>
        </w:rPr>
        <w:t>4</w:t>
      </w:r>
      <w:r w:rsidRPr="00647211">
        <w:rPr>
          <w:lang w:val="uk-UA"/>
        </w:rPr>
        <w:t xml:space="preserve">) </w:t>
      </w:r>
      <w:r w:rsidRPr="00647211">
        <w:rPr>
          <w:i/>
        </w:rPr>
        <w:t>Dirofilaria</w:t>
      </w:r>
      <w:r w:rsidRPr="00647211">
        <w:rPr>
          <w:i/>
          <w:lang w:val="uk-UA"/>
        </w:rPr>
        <w:t xml:space="preserve"> </w:t>
      </w:r>
      <w:r w:rsidRPr="00647211">
        <w:rPr>
          <w:i/>
        </w:rPr>
        <w:t>spp</w:t>
      </w:r>
      <w:r w:rsidRPr="00647211">
        <w:rPr>
          <w:lang w:val="uk-UA"/>
        </w:rPr>
        <w:t>..</w:t>
      </w:r>
    </w:p>
    <w:p w:rsidR="000E28A0" w:rsidRPr="00647211" w:rsidRDefault="000E28A0" w:rsidP="006F7267">
      <w:pPr>
        <w:pStyle w:val="12"/>
        <w:spacing w:after="0" w:line="240" w:lineRule="auto"/>
        <w:ind w:firstLine="567"/>
        <w:jc w:val="both"/>
        <w:rPr>
          <w:rStyle w:val="cs5efed22f2"/>
        </w:rPr>
      </w:pPr>
      <w:r w:rsidRPr="00647211">
        <w:rPr>
          <w:rStyle w:val="cs5efed22f2"/>
        </w:rPr>
        <w:t>При пероральному застосуванні імідаклоприд швидко та майже повністю всмоктується зі шлунково-кишкового тракту тварини та досягає ефективної концентрації приблизно через 1,3 години.  Він розподіляється по тканинах, але не накопичується в них. Імідаклоприд має низький рівень проникнення через гематоенцефалічний бар’єр, тому не впливає на центральну нервову систему ссавців. Імідаклоприд метаболізується в печінці до активного метаболіту та виводиться із сечею (70-80 %) та калом (20 - 30 %).</w:t>
      </w:r>
      <w:r w:rsidRPr="00647211">
        <w:rPr>
          <w:rStyle w:val="cs5efed22f2"/>
          <w:b/>
        </w:rPr>
        <w:t xml:space="preserve"> </w:t>
      </w:r>
      <w:r w:rsidRPr="00647211">
        <w:rPr>
          <w:rStyle w:val="cs5efed22f2"/>
          <w:lang w:val="ru-RU"/>
        </w:rPr>
        <w:t>Т</w:t>
      </w:r>
      <w:r w:rsidRPr="00647211">
        <w:rPr>
          <w:rStyle w:val="docdata"/>
          <w:rFonts w:ascii="Times New Roman" w:hAnsi="Times New Roman"/>
          <w:color w:val="000000"/>
          <w:sz w:val="24"/>
          <w:szCs w:val="24"/>
        </w:rPr>
        <w:t>ермінальний період напіввиведення становить приблизно 2,2 години.</w:t>
      </w:r>
    </w:p>
    <w:p w:rsidR="000E28A0" w:rsidRPr="00647211" w:rsidRDefault="000E28A0" w:rsidP="006F7267">
      <w:pPr>
        <w:ind w:firstLine="567"/>
        <w:jc w:val="both"/>
        <w:rPr>
          <w:rStyle w:val="a6"/>
          <w:b w:val="0"/>
          <w:i w:val="0"/>
          <w:lang w:val="uk-UA"/>
        </w:rPr>
      </w:pPr>
      <w:r w:rsidRPr="00647211">
        <w:rPr>
          <w:rStyle w:val="cs5efed22f2"/>
          <w:lang w:val="uk-UA"/>
        </w:rPr>
        <w:t>Після перорального застосування препарату тваринам</w:t>
      </w:r>
      <w:r w:rsidR="000277E1" w:rsidRPr="00647211">
        <w:rPr>
          <w:rStyle w:val="a6"/>
          <w:b w:val="0"/>
          <w:i w:val="0"/>
          <w:lang w:val="uk-UA"/>
        </w:rPr>
        <w:t xml:space="preserve"> лю</w:t>
      </w:r>
      <w:r w:rsidRPr="00647211">
        <w:rPr>
          <w:rStyle w:val="a6"/>
          <w:b w:val="0"/>
          <w:i w:val="0"/>
          <w:lang w:val="uk-UA"/>
        </w:rPr>
        <w:t>фенурон швидко всмоктується в шлунку (максимальний рівень абсорбції досягається при наповненому кормом шлунку), повільно виводиться, що забезпечує високу концентрацію сполуки в організмі тварини протягом місяця.</w:t>
      </w:r>
      <w:r w:rsidRPr="00647211">
        <w:rPr>
          <w:rStyle w:val="a6"/>
          <w:b w:val="0"/>
          <w:i w:val="0"/>
        </w:rPr>
        <w:t> </w:t>
      </w:r>
    </w:p>
    <w:p w:rsidR="000E28A0" w:rsidRPr="00647211" w:rsidRDefault="000E28A0" w:rsidP="006F7267">
      <w:pPr>
        <w:pStyle w:val="12"/>
        <w:spacing w:after="0" w:line="240" w:lineRule="auto"/>
        <w:ind w:firstLine="567"/>
        <w:jc w:val="both"/>
        <w:rPr>
          <w:rFonts w:ascii="Times New Roman" w:hAnsi="Times New Roman"/>
          <w:sz w:val="24"/>
          <w:szCs w:val="24"/>
        </w:rPr>
      </w:pPr>
      <w:r w:rsidRPr="00647211">
        <w:rPr>
          <w:rFonts w:ascii="Times New Roman" w:hAnsi="Times New Roman"/>
          <w:sz w:val="24"/>
          <w:szCs w:val="24"/>
        </w:rPr>
        <w:t xml:space="preserve">Мільбеміцину оксим легко і швидко всмоктується системно після перорального застосування, досягаючи максимальної концентрації в плазмі крові протягом 2 - 4 годин (максимальний термін) після прийому і з 66,9 % біодоступністю. Мільбеміцину оксим повільно виводиться з плазми крові  через біліарну екскрецію та виведення з фекаліями з незначним внеском метаболічного кліренсу. </w:t>
      </w:r>
    </w:p>
    <w:p w:rsidR="000E28A0" w:rsidRPr="00647211" w:rsidRDefault="000E28A0" w:rsidP="006F7267">
      <w:pPr>
        <w:tabs>
          <w:tab w:val="left" w:pos="0"/>
          <w:tab w:val="left" w:pos="851"/>
        </w:tabs>
        <w:ind w:firstLine="567"/>
        <w:jc w:val="both"/>
        <w:rPr>
          <w:rStyle w:val="a6"/>
          <w:b w:val="0"/>
          <w:i w:val="0"/>
        </w:rPr>
      </w:pPr>
      <w:r w:rsidRPr="00647211">
        <w:rPr>
          <w:rStyle w:val="a6"/>
        </w:rPr>
        <w:t>Препарат токсичний для бджіл, а також риб та інших гідробіонтів.</w:t>
      </w:r>
    </w:p>
    <w:p w:rsidR="000E28A0" w:rsidRPr="00647211" w:rsidRDefault="000E28A0" w:rsidP="006F7267">
      <w:pPr>
        <w:ind w:firstLine="567"/>
        <w:jc w:val="both"/>
        <w:rPr>
          <w:b/>
        </w:rPr>
      </w:pPr>
      <w:r w:rsidRPr="00647211">
        <w:rPr>
          <w:b/>
        </w:rPr>
        <w:t>5. Клінічні особливості</w:t>
      </w:r>
    </w:p>
    <w:p w:rsidR="000E28A0" w:rsidRPr="00647211" w:rsidRDefault="000E28A0" w:rsidP="006F7267">
      <w:pPr>
        <w:ind w:firstLine="567"/>
        <w:jc w:val="both"/>
        <w:rPr>
          <w:b/>
        </w:rPr>
      </w:pPr>
      <w:r w:rsidRPr="00647211">
        <w:rPr>
          <w:b/>
        </w:rPr>
        <w:t>5.1 Вид тварин</w:t>
      </w:r>
    </w:p>
    <w:p w:rsidR="000E28A0" w:rsidRPr="00647211" w:rsidRDefault="000E28A0" w:rsidP="006F7267">
      <w:pPr>
        <w:ind w:firstLine="567"/>
        <w:jc w:val="both"/>
        <w:rPr>
          <w:i/>
          <w:iCs/>
          <w:lang w:val="uk-UA" w:eastAsia="en-US"/>
        </w:rPr>
      </w:pPr>
      <w:r w:rsidRPr="00647211">
        <w:rPr>
          <w:lang w:val="uk-UA" w:eastAsia="en-US"/>
        </w:rPr>
        <w:t>Собаки.</w:t>
      </w:r>
    </w:p>
    <w:p w:rsidR="000E28A0" w:rsidRPr="00647211" w:rsidRDefault="000E28A0" w:rsidP="006F7267">
      <w:pPr>
        <w:ind w:firstLine="567"/>
        <w:jc w:val="both"/>
        <w:rPr>
          <w:lang w:val="uk-UA"/>
        </w:rPr>
      </w:pPr>
      <w:r w:rsidRPr="00647211">
        <w:rPr>
          <w:b/>
          <w:lang w:val="uk-UA"/>
        </w:rPr>
        <w:t>5.2 Показання до застосування</w:t>
      </w:r>
      <w:r w:rsidRPr="00647211">
        <w:rPr>
          <w:lang w:val="uk-UA"/>
        </w:rPr>
        <w:t xml:space="preserve"> </w:t>
      </w:r>
    </w:p>
    <w:p w:rsidR="000E28A0" w:rsidRPr="00647211" w:rsidRDefault="000E28A0" w:rsidP="006F7267">
      <w:pPr>
        <w:ind w:firstLine="567"/>
        <w:jc w:val="both"/>
      </w:pPr>
      <w:r w:rsidRPr="00647211">
        <w:t>Профілактика та лікування собак при змішаних паразитарних інвазіях, спричинених екто- та ендопаразитами:</w:t>
      </w:r>
    </w:p>
    <w:p w:rsidR="000E28A0" w:rsidRPr="00647211" w:rsidRDefault="000E28A0" w:rsidP="006F7267">
      <w:pPr>
        <w:ind w:firstLine="567"/>
        <w:jc w:val="both"/>
      </w:pPr>
      <w:r w:rsidRPr="00647211">
        <w:t>- іксодовими кліщами (</w:t>
      </w:r>
      <w:r w:rsidRPr="00647211">
        <w:rPr>
          <w:i/>
        </w:rPr>
        <w:t>Dermacentor spp., Rhipicephalus spp., Ixodes spp</w:t>
      </w:r>
      <w:r w:rsidRPr="00647211">
        <w:t>.);</w:t>
      </w:r>
    </w:p>
    <w:p w:rsidR="000E28A0" w:rsidRPr="00647211" w:rsidRDefault="000E28A0" w:rsidP="006F7267">
      <w:pPr>
        <w:ind w:firstLine="567"/>
        <w:jc w:val="both"/>
      </w:pPr>
      <w:r w:rsidRPr="00647211">
        <w:t xml:space="preserve">- саркоптиформними кліщами: </w:t>
      </w:r>
      <w:r w:rsidRPr="00647211">
        <w:rPr>
          <w:i/>
        </w:rPr>
        <w:t>Otodectes cynotis</w:t>
      </w:r>
      <w:r w:rsidRPr="00647211">
        <w:t xml:space="preserve"> та коростяні кліщі (</w:t>
      </w:r>
      <w:r w:rsidRPr="00647211">
        <w:rPr>
          <w:i/>
        </w:rPr>
        <w:t>Sarcoptes canis</w:t>
      </w:r>
      <w:r w:rsidRPr="00647211">
        <w:t>);</w:t>
      </w:r>
    </w:p>
    <w:p w:rsidR="000E28A0" w:rsidRPr="00647211" w:rsidRDefault="000E28A0" w:rsidP="006F7267">
      <w:pPr>
        <w:ind w:firstLine="567"/>
        <w:jc w:val="both"/>
      </w:pPr>
      <w:r w:rsidRPr="00647211">
        <w:t>- тромбідіформними кліщами (</w:t>
      </w:r>
      <w:r w:rsidRPr="00647211">
        <w:rPr>
          <w:i/>
        </w:rPr>
        <w:t>Demodex spp</w:t>
      </w:r>
      <w:r w:rsidRPr="00647211">
        <w:t>.);</w:t>
      </w:r>
    </w:p>
    <w:p w:rsidR="000E28A0" w:rsidRPr="00647211" w:rsidRDefault="000E28A0" w:rsidP="006F7267">
      <w:pPr>
        <w:ind w:firstLine="567"/>
        <w:jc w:val="both"/>
      </w:pPr>
      <w:r w:rsidRPr="00647211">
        <w:t>-блохами (</w:t>
      </w:r>
      <w:r w:rsidRPr="00647211">
        <w:rPr>
          <w:i/>
        </w:rPr>
        <w:t>Ctenocephalides spp</w:t>
      </w:r>
      <w:r w:rsidRPr="00647211">
        <w:t>.); включаючи личинки та яйця бліх;</w:t>
      </w:r>
    </w:p>
    <w:p w:rsidR="000E28A0" w:rsidRPr="00647211" w:rsidRDefault="000E28A0" w:rsidP="006F7267">
      <w:pPr>
        <w:ind w:firstLine="567"/>
        <w:jc w:val="both"/>
        <w:rPr>
          <w:lang w:val="en-US"/>
        </w:rPr>
      </w:pPr>
      <w:r w:rsidRPr="00647211">
        <w:rPr>
          <w:lang w:val="en-US"/>
        </w:rPr>
        <w:t>- </w:t>
      </w:r>
      <w:r w:rsidRPr="00647211">
        <w:t>волосоїдами</w:t>
      </w:r>
      <w:r w:rsidRPr="00647211">
        <w:rPr>
          <w:lang w:val="en-US"/>
        </w:rPr>
        <w:t> (</w:t>
      </w:r>
      <w:r w:rsidRPr="00647211">
        <w:rPr>
          <w:i/>
          <w:lang w:val="en-US"/>
        </w:rPr>
        <w:t>Trichodectes canis</w:t>
      </w:r>
      <w:r w:rsidRPr="00647211">
        <w:rPr>
          <w:lang w:val="en-US"/>
        </w:rPr>
        <w:t xml:space="preserve">); </w:t>
      </w:r>
    </w:p>
    <w:p w:rsidR="000E28A0" w:rsidRPr="00647211" w:rsidRDefault="000E28A0" w:rsidP="006F7267">
      <w:pPr>
        <w:ind w:firstLine="567"/>
        <w:jc w:val="both"/>
        <w:rPr>
          <w:lang w:val="en-US"/>
        </w:rPr>
      </w:pPr>
      <w:r w:rsidRPr="00647211">
        <w:rPr>
          <w:lang w:val="en-US"/>
        </w:rPr>
        <w:t>-</w:t>
      </w:r>
      <w:r w:rsidRPr="00647211">
        <w:t>вошами</w:t>
      </w:r>
      <w:r w:rsidRPr="00647211">
        <w:rPr>
          <w:lang w:val="en-US"/>
        </w:rPr>
        <w:t xml:space="preserve"> (</w:t>
      </w:r>
      <w:r w:rsidRPr="00647211">
        <w:rPr>
          <w:i/>
          <w:lang w:val="en-US"/>
        </w:rPr>
        <w:t>Linognathus setosus</w:t>
      </w:r>
      <w:r w:rsidRPr="00647211">
        <w:rPr>
          <w:lang w:val="en-US"/>
        </w:rPr>
        <w:t xml:space="preserve">); </w:t>
      </w:r>
    </w:p>
    <w:p w:rsidR="000E28A0" w:rsidRPr="00647211" w:rsidRDefault="000E28A0" w:rsidP="006F7267">
      <w:pPr>
        <w:ind w:firstLine="567"/>
        <w:jc w:val="both"/>
        <w:rPr>
          <w:lang w:val="en-US"/>
        </w:rPr>
      </w:pPr>
      <w:r w:rsidRPr="00647211">
        <w:rPr>
          <w:lang w:val="en-US"/>
        </w:rPr>
        <w:t>- </w:t>
      </w:r>
      <w:r w:rsidRPr="00647211">
        <w:t>нематодами</w:t>
      </w:r>
      <w:r w:rsidRPr="00647211">
        <w:rPr>
          <w:lang w:val="en-US"/>
        </w:rPr>
        <w:t xml:space="preserve"> </w:t>
      </w:r>
      <w:r w:rsidRPr="00647211">
        <w:t>травного</w:t>
      </w:r>
      <w:r w:rsidRPr="00647211">
        <w:rPr>
          <w:lang w:val="en-US"/>
        </w:rPr>
        <w:t xml:space="preserve"> </w:t>
      </w:r>
      <w:r w:rsidRPr="00647211">
        <w:t>каналу</w:t>
      </w:r>
      <w:r w:rsidRPr="00647211">
        <w:rPr>
          <w:lang w:val="en-US"/>
        </w:rPr>
        <w:t xml:space="preserve"> </w:t>
      </w:r>
      <w:r w:rsidRPr="00647211">
        <w:t>та</w:t>
      </w:r>
      <w:r w:rsidRPr="00647211">
        <w:rPr>
          <w:lang w:val="en-US"/>
        </w:rPr>
        <w:t xml:space="preserve"> </w:t>
      </w:r>
      <w:r w:rsidRPr="00647211">
        <w:t>дихальних</w:t>
      </w:r>
      <w:r w:rsidRPr="00647211">
        <w:rPr>
          <w:lang w:val="en-US"/>
        </w:rPr>
        <w:t xml:space="preserve"> </w:t>
      </w:r>
      <w:r w:rsidRPr="00647211">
        <w:t>шляхів</w:t>
      </w:r>
      <w:r w:rsidRPr="00647211">
        <w:rPr>
          <w:lang w:val="en-US"/>
        </w:rPr>
        <w:t> (</w:t>
      </w:r>
      <w:r w:rsidRPr="00647211">
        <w:rPr>
          <w:i/>
          <w:lang w:val="en-US"/>
        </w:rPr>
        <w:t>Toxocara canis, Tox</w:t>
      </w:r>
      <w:r w:rsidRPr="00647211">
        <w:rPr>
          <w:i/>
        </w:rPr>
        <w:t>а</w:t>
      </w:r>
      <w:r w:rsidRPr="00647211">
        <w:rPr>
          <w:i/>
          <w:lang w:val="en-US"/>
        </w:rPr>
        <w:t>scaris leonin</w:t>
      </w:r>
      <w:r w:rsidRPr="00647211">
        <w:rPr>
          <w:i/>
        </w:rPr>
        <w:t>а</w:t>
      </w:r>
      <w:r w:rsidRPr="00647211">
        <w:rPr>
          <w:i/>
          <w:lang w:val="en-US"/>
        </w:rPr>
        <w:t xml:space="preserve">, Ancylostoma spp., Uncinaria spp., Trichuris vulpis, Strongyloides stercoralis /S. </w:t>
      </w:r>
      <w:r w:rsidRPr="00647211">
        <w:rPr>
          <w:i/>
        </w:rPr>
        <w:t>с</w:t>
      </w:r>
      <w:r w:rsidRPr="00647211">
        <w:rPr>
          <w:i/>
          <w:lang w:val="en-US"/>
        </w:rPr>
        <w:t>anis, Angiostrongylus vasorum</w:t>
      </w:r>
      <w:r w:rsidRPr="00647211">
        <w:rPr>
          <w:lang w:val="en-US"/>
        </w:rPr>
        <w:t>).</w:t>
      </w:r>
    </w:p>
    <w:p w:rsidR="000E28A0" w:rsidRPr="00647211" w:rsidRDefault="000E28A0" w:rsidP="006F7267">
      <w:pPr>
        <w:ind w:firstLine="567"/>
        <w:jc w:val="both"/>
        <w:rPr>
          <w:lang w:val="en-US"/>
        </w:rPr>
      </w:pPr>
      <w:r w:rsidRPr="00647211">
        <w:t>Профілактика</w:t>
      </w:r>
      <w:r w:rsidRPr="00647211">
        <w:rPr>
          <w:lang w:val="en-US"/>
        </w:rPr>
        <w:t xml:space="preserve"> </w:t>
      </w:r>
      <w:r w:rsidRPr="00647211">
        <w:t>алергічного</w:t>
      </w:r>
      <w:r w:rsidRPr="00647211">
        <w:rPr>
          <w:lang w:val="en-US"/>
        </w:rPr>
        <w:t xml:space="preserve"> </w:t>
      </w:r>
      <w:r w:rsidRPr="00647211">
        <w:t>блошиного</w:t>
      </w:r>
      <w:r w:rsidRPr="00647211">
        <w:rPr>
          <w:lang w:val="en-US"/>
        </w:rPr>
        <w:t xml:space="preserve"> </w:t>
      </w:r>
      <w:r w:rsidRPr="00647211">
        <w:t>дерматиту</w:t>
      </w:r>
      <w:r w:rsidRPr="00647211">
        <w:rPr>
          <w:lang w:val="en-US"/>
        </w:rPr>
        <w:t xml:space="preserve"> (</w:t>
      </w:r>
      <w:r w:rsidRPr="00647211">
        <w:rPr>
          <w:i/>
          <w:lang w:val="en-US"/>
        </w:rPr>
        <w:t>flea allergy dermatitis: FAD</w:t>
      </w:r>
      <w:r w:rsidRPr="00647211">
        <w:rPr>
          <w:lang w:val="en-US"/>
        </w:rPr>
        <w:t>). </w:t>
      </w:r>
    </w:p>
    <w:p w:rsidR="000E28A0" w:rsidRPr="00647211" w:rsidRDefault="000E28A0" w:rsidP="006F7267">
      <w:pPr>
        <w:ind w:firstLine="567"/>
        <w:jc w:val="both"/>
        <w:rPr>
          <w:lang w:val="en-US"/>
        </w:rPr>
      </w:pPr>
      <w:r w:rsidRPr="00647211">
        <w:t>Профілактика</w:t>
      </w:r>
      <w:r w:rsidRPr="00647211">
        <w:rPr>
          <w:lang w:val="en-US"/>
        </w:rPr>
        <w:t xml:space="preserve"> </w:t>
      </w:r>
      <w:r w:rsidRPr="00647211">
        <w:t>дирофіляріозу</w:t>
      </w:r>
      <w:r w:rsidRPr="00647211">
        <w:rPr>
          <w:lang w:val="en-US"/>
        </w:rPr>
        <w:t xml:space="preserve">: </w:t>
      </w:r>
      <w:r w:rsidRPr="00647211">
        <w:rPr>
          <w:i/>
          <w:lang w:val="en-US"/>
        </w:rPr>
        <w:t>Dirofilaria spp</w:t>
      </w:r>
      <w:r w:rsidRPr="00647211">
        <w:rPr>
          <w:lang w:val="en-US"/>
        </w:rPr>
        <w:t>. (</w:t>
      </w:r>
      <w:r w:rsidRPr="00647211">
        <w:t>мікрофілярії</w:t>
      </w:r>
      <w:r w:rsidRPr="00647211">
        <w:rPr>
          <w:lang w:val="en-US"/>
        </w:rPr>
        <w:t xml:space="preserve"> L3 </w:t>
      </w:r>
      <w:r w:rsidRPr="00647211">
        <w:t>та</w:t>
      </w:r>
      <w:r w:rsidRPr="00647211">
        <w:rPr>
          <w:lang w:val="en-US"/>
        </w:rPr>
        <w:t xml:space="preserve"> L4 </w:t>
      </w:r>
      <w:r w:rsidRPr="00647211">
        <w:t>стадій</w:t>
      </w:r>
      <w:r w:rsidRPr="00647211">
        <w:rPr>
          <w:lang w:val="en-US"/>
        </w:rPr>
        <w:t>).</w:t>
      </w:r>
    </w:p>
    <w:p w:rsidR="000E28A0" w:rsidRPr="00647211" w:rsidRDefault="000E28A0" w:rsidP="006F7267">
      <w:pPr>
        <w:ind w:firstLine="567"/>
        <w:jc w:val="both"/>
      </w:pPr>
      <w:r w:rsidRPr="00647211">
        <w:rPr>
          <w:b/>
        </w:rPr>
        <w:t>5.3 Протипоказання</w:t>
      </w:r>
      <w:r w:rsidRPr="00647211">
        <w:t xml:space="preserve"> </w:t>
      </w:r>
    </w:p>
    <w:p w:rsidR="000E28A0" w:rsidRPr="00647211" w:rsidRDefault="000E28A0" w:rsidP="006F7267">
      <w:pPr>
        <w:ind w:firstLine="567"/>
        <w:jc w:val="both"/>
        <w:rPr>
          <w:lang w:val="uk-UA" w:eastAsia="en-US"/>
        </w:rPr>
      </w:pPr>
      <w:r w:rsidRPr="00647211">
        <w:rPr>
          <w:lang w:val="uk-UA" w:eastAsia="en-US"/>
        </w:rPr>
        <w:t>Підвищена індивідуальна чутливість тварини до компонентів препарату.</w:t>
      </w:r>
    </w:p>
    <w:p w:rsidR="000E28A0" w:rsidRPr="00647211" w:rsidRDefault="000E28A0" w:rsidP="006F7267">
      <w:pPr>
        <w:ind w:firstLine="567"/>
        <w:jc w:val="both"/>
      </w:pPr>
      <w:r w:rsidRPr="00647211">
        <w:t>Не застосовувати виснаженим та хворим на інфекційні хвороби</w:t>
      </w:r>
      <w:r w:rsidR="00FC4891" w:rsidRPr="00647211">
        <w:t xml:space="preserve"> тваринам</w:t>
      </w:r>
      <w:r w:rsidRPr="00647211">
        <w:t>!</w:t>
      </w:r>
    </w:p>
    <w:p w:rsidR="000E28A0" w:rsidRPr="00647211" w:rsidRDefault="000E28A0" w:rsidP="006F7267">
      <w:pPr>
        <w:ind w:firstLine="567"/>
        <w:jc w:val="both"/>
      </w:pPr>
      <w:r w:rsidRPr="00647211">
        <w:t>Не застосовувати тваринам з важкими ураженнями нирок та печінки!</w:t>
      </w:r>
    </w:p>
    <w:p w:rsidR="000E28A0" w:rsidRPr="00647211" w:rsidRDefault="000E28A0" w:rsidP="006F7267">
      <w:pPr>
        <w:ind w:firstLine="567"/>
        <w:jc w:val="both"/>
      </w:pPr>
      <w:r w:rsidRPr="00647211">
        <w:t>Не застосовувати тваринам віком до 8-ми тижнів і/або масою тіла менше 2,5 кг.</w:t>
      </w:r>
    </w:p>
    <w:p w:rsidR="000E28A0" w:rsidRPr="00647211" w:rsidRDefault="000E28A0" w:rsidP="006F7267">
      <w:pPr>
        <w:ind w:firstLine="567"/>
        <w:jc w:val="both"/>
      </w:pPr>
      <w:r w:rsidRPr="00647211">
        <w:lastRenderedPageBreak/>
        <w:t>Не застосовувати препарат разом з іншими протипаразитарними засобами, що містять макроциклічні лактони, а також з піперазином та препаратами, що інгібують холінестеразу.</w:t>
      </w:r>
    </w:p>
    <w:p w:rsidR="000E28A0" w:rsidRPr="00647211" w:rsidRDefault="000E28A0" w:rsidP="006F7267">
      <w:pPr>
        <w:ind w:firstLine="567"/>
        <w:jc w:val="both"/>
      </w:pPr>
      <w:r w:rsidRPr="00647211">
        <w:t>Не застосовувати самкам під  час вагітності та лактації.</w:t>
      </w:r>
    </w:p>
    <w:p w:rsidR="000E28A0" w:rsidRPr="00647211" w:rsidRDefault="000E28A0" w:rsidP="006F7267">
      <w:pPr>
        <w:ind w:firstLine="567"/>
        <w:jc w:val="both"/>
        <w:rPr>
          <w:b/>
          <w:snapToGrid w:val="0"/>
          <w:lang w:val="uk-UA"/>
        </w:rPr>
      </w:pPr>
      <w:r w:rsidRPr="00647211">
        <w:rPr>
          <w:b/>
          <w:snapToGrid w:val="0"/>
          <w:lang w:val="uk-UA"/>
        </w:rPr>
        <w:t>5.4 Побічна дія</w:t>
      </w:r>
    </w:p>
    <w:p w:rsidR="000E28A0" w:rsidRPr="00647211" w:rsidRDefault="000E28A0" w:rsidP="006F7267">
      <w:pPr>
        <w:ind w:firstLine="567"/>
        <w:jc w:val="both"/>
        <w:rPr>
          <w:lang w:val="uk-UA"/>
        </w:rPr>
      </w:pPr>
      <w:r w:rsidRPr="00647211">
        <w:rPr>
          <w:lang w:val="uk-UA"/>
        </w:rPr>
        <w:t>За застосування препарату відповідно до листівки-вкладки зазвичай побічні явища і ускладнення не відзначаються.</w:t>
      </w:r>
    </w:p>
    <w:p w:rsidR="000E28A0" w:rsidRPr="00647211" w:rsidRDefault="000E28A0" w:rsidP="006F7267">
      <w:pPr>
        <w:ind w:firstLine="567"/>
        <w:jc w:val="both"/>
      </w:pPr>
      <w:r w:rsidRPr="00647211">
        <w:t xml:space="preserve">У деяких тварин можливе порушення </w:t>
      </w:r>
      <w:r w:rsidRPr="00647211">
        <w:rPr>
          <w:lang w:val="uk-UA"/>
        </w:rPr>
        <w:t xml:space="preserve">в </w:t>
      </w:r>
      <w:r w:rsidRPr="00647211">
        <w:t>робот</w:t>
      </w:r>
      <w:r w:rsidRPr="00647211">
        <w:rPr>
          <w:lang w:val="uk-UA"/>
        </w:rPr>
        <w:t>і</w:t>
      </w:r>
      <w:r w:rsidRPr="00647211">
        <w:t xml:space="preserve"> шлунково-кишкового тракту та посилення слиновиділення, млявість, які зникають мимовільно та не вимагають застосування лікарських засобів.</w:t>
      </w:r>
    </w:p>
    <w:p w:rsidR="000E28A0" w:rsidRPr="00647211" w:rsidRDefault="000E28A0" w:rsidP="006F7267">
      <w:pPr>
        <w:ind w:firstLine="567"/>
        <w:jc w:val="both"/>
        <w:rPr>
          <w:b/>
          <w:snapToGrid w:val="0"/>
        </w:rPr>
      </w:pPr>
      <w:r w:rsidRPr="00647211">
        <w:rPr>
          <w:b/>
          <w:snapToGrid w:val="0"/>
        </w:rPr>
        <w:t>5.5 Особливі застереження при використанні</w:t>
      </w:r>
    </w:p>
    <w:p w:rsidR="000E28A0" w:rsidRPr="00647211" w:rsidRDefault="000E28A0" w:rsidP="006F7267">
      <w:pPr>
        <w:ind w:firstLine="567"/>
        <w:jc w:val="both"/>
        <w:rPr>
          <w:lang w:val="uk-UA"/>
        </w:rPr>
      </w:pPr>
      <w:r w:rsidRPr="00647211">
        <w:rPr>
          <w:lang w:val="uk-UA"/>
        </w:rPr>
        <w:t xml:space="preserve">Препарат застосовувати згідно з листівкою-вкладкою. </w:t>
      </w:r>
    </w:p>
    <w:p w:rsidR="000E28A0" w:rsidRPr="00647211" w:rsidRDefault="000E28A0" w:rsidP="006F7267">
      <w:pPr>
        <w:shd w:val="clear" w:color="auto" w:fill="FFFFFF"/>
        <w:ind w:firstLine="567"/>
        <w:jc w:val="both"/>
        <w:rPr>
          <w:spacing w:val="-1"/>
          <w:lang w:val="uk-UA"/>
        </w:rPr>
      </w:pPr>
      <w:r w:rsidRPr="00647211">
        <w:rPr>
          <w:spacing w:val="-1"/>
          <w:lang w:val="uk-UA"/>
        </w:rPr>
        <w:t>Слід дотримуватися рекомендованих доз.</w:t>
      </w:r>
    </w:p>
    <w:p w:rsidR="000E28A0" w:rsidRPr="00647211" w:rsidRDefault="000E28A0" w:rsidP="006F7267">
      <w:pPr>
        <w:pStyle w:val="csccbacf97"/>
        <w:ind w:right="0" w:firstLine="567"/>
        <w:jc w:val="both"/>
        <w:rPr>
          <w:rFonts w:eastAsia="Calibri"/>
          <w:color w:val="333333"/>
          <w:shd w:val="clear" w:color="auto" w:fill="FFFFFF"/>
        </w:rPr>
      </w:pPr>
      <w:r w:rsidRPr="00647211">
        <w:t>Особлива обережність при застосуванні собакам порід коллі, шелті, австралійська вівчарка та їхнім помісям через підвищену чутливість цих порід до макроциклічних лактонів (можлива наявність мутації гена MDR1). Застосування препарату таким тваринам має проводитися під наглядом ветеринарного лікаря.</w:t>
      </w:r>
    </w:p>
    <w:p w:rsidR="000E28A0" w:rsidRPr="00647211" w:rsidRDefault="000E28A0" w:rsidP="006F7267">
      <w:pPr>
        <w:widowControl w:val="0"/>
        <w:ind w:right="454" w:firstLine="567"/>
        <w:jc w:val="both"/>
        <w:rPr>
          <w:b/>
          <w:snapToGrid w:val="0"/>
        </w:rPr>
      </w:pPr>
      <w:r w:rsidRPr="00647211">
        <w:rPr>
          <w:b/>
          <w:snapToGrid w:val="0"/>
        </w:rPr>
        <w:t>5.6 Використання під час вагітності, лактації, несучості</w:t>
      </w:r>
    </w:p>
    <w:p w:rsidR="000E28A0" w:rsidRPr="00647211" w:rsidRDefault="000E28A0" w:rsidP="006F7267">
      <w:pPr>
        <w:pStyle w:val="csccbacf97"/>
        <w:ind w:right="0" w:firstLine="567"/>
        <w:jc w:val="both"/>
        <w:rPr>
          <w:color w:val="333333"/>
          <w:shd w:val="clear" w:color="auto" w:fill="FFFFFF"/>
        </w:rPr>
      </w:pPr>
      <w:r w:rsidRPr="00647211">
        <w:rPr>
          <w:rStyle w:val="cs5efed22f5"/>
          <w:rFonts w:eastAsia="Calibri"/>
        </w:rPr>
        <w:t xml:space="preserve">Не </w:t>
      </w:r>
      <w:r w:rsidR="00FC4891" w:rsidRPr="00647211">
        <w:rPr>
          <w:rFonts w:eastAsia="Calibri"/>
        </w:rPr>
        <w:t>застосовувати самкам у</w:t>
      </w:r>
      <w:r w:rsidRPr="00647211">
        <w:rPr>
          <w:rFonts w:eastAsia="Calibri"/>
        </w:rPr>
        <w:t xml:space="preserve"> період вагітності і лактації</w:t>
      </w:r>
      <w:r w:rsidRPr="00647211">
        <w:rPr>
          <w:rStyle w:val="cs5efed22f5"/>
          <w:rFonts w:eastAsia="Calibri"/>
        </w:rPr>
        <w:t>!</w:t>
      </w:r>
    </w:p>
    <w:p w:rsidR="000E28A0" w:rsidRPr="00647211" w:rsidRDefault="000E28A0" w:rsidP="006F7267">
      <w:pPr>
        <w:shd w:val="clear" w:color="auto" w:fill="FFFFFF"/>
        <w:ind w:firstLine="567"/>
        <w:jc w:val="both"/>
        <w:rPr>
          <w:b/>
          <w:snapToGrid w:val="0"/>
          <w:lang w:val="uk-UA"/>
        </w:rPr>
      </w:pPr>
      <w:r w:rsidRPr="00647211">
        <w:rPr>
          <w:b/>
          <w:snapToGrid w:val="0"/>
          <w:lang w:val="uk-UA"/>
        </w:rPr>
        <w:t>5.7 Взаємодія з іншими засобами та інші форми взаємодії</w:t>
      </w:r>
    </w:p>
    <w:p w:rsidR="000E28A0" w:rsidRPr="00647211" w:rsidRDefault="000E28A0" w:rsidP="006F7267">
      <w:pPr>
        <w:widowControl w:val="0"/>
        <w:ind w:right="454" w:firstLine="567"/>
        <w:jc w:val="both"/>
        <w:rPr>
          <w:lang w:val="uk-UA"/>
        </w:rPr>
      </w:pPr>
      <w:r w:rsidRPr="00647211">
        <w:t>Не встановлена</w:t>
      </w:r>
      <w:r w:rsidRPr="00647211">
        <w:rPr>
          <w:lang w:val="uk-UA"/>
        </w:rPr>
        <w:t>.</w:t>
      </w:r>
    </w:p>
    <w:p w:rsidR="000E28A0" w:rsidRPr="00647211" w:rsidRDefault="000E28A0" w:rsidP="006F7267">
      <w:pPr>
        <w:widowControl w:val="0"/>
        <w:ind w:right="454" w:firstLine="567"/>
        <w:jc w:val="both"/>
        <w:rPr>
          <w:b/>
          <w:snapToGrid w:val="0"/>
          <w:lang w:val="uk-UA"/>
        </w:rPr>
      </w:pPr>
      <w:r w:rsidRPr="00647211">
        <w:rPr>
          <w:b/>
          <w:snapToGrid w:val="0"/>
        </w:rPr>
        <w:t>5.8 Дози і способи введення тваринам різного віку</w:t>
      </w:r>
    </w:p>
    <w:p w:rsidR="000E28A0" w:rsidRPr="00647211" w:rsidRDefault="000E28A0" w:rsidP="006F7267">
      <w:pPr>
        <w:ind w:firstLine="567"/>
        <w:jc w:val="both"/>
      </w:pPr>
      <w:r w:rsidRPr="00647211">
        <w:t>Препарат PRIMERA VS призначений для перорального застосування (per os). </w:t>
      </w:r>
    </w:p>
    <w:p w:rsidR="000E28A0" w:rsidRPr="00647211" w:rsidRDefault="000E28A0" w:rsidP="006F7267">
      <w:pPr>
        <w:ind w:firstLine="567"/>
        <w:jc w:val="both"/>
      </w:pPr>
      <w:r w:rsidRPr="00647211">
        <w:t>Таблетки приємні на смак і споживаються більшістю собак добровільно. Якщо таблетка не з’їдається добровільно, її можна давати з їжею або безпосередньо тварині на корінь язик</w:t>
      </w:r>
      <w:r w:rsidRPr="00647211">
        <w:rPr>
          <w:lang w:val="uk-UA"/>
        </w:rPr>
        <w:t>а</w:t>
      </w:r>
      <w:r w:rsidRPr="00647211">
        <w:t xml:space="preserve">. </w:t>
      </w:r>
    </w:p>
    <w:p w:rsidR="000E28A0" w:rsidRPr="00647211" w:rsidRDefault="000E28A0" w:rsidP="006F7267">
      <w:pPr>
        <w:ind w:firstLine="567"/>
        <w:jc w:val="both"/>
        <w:rPr>
          <w:strike/>
        </w:rPr>
      </w:pPr>
      <w:r w:rsidRPr="00647211">
        <w:t>Слід спостерігати за тим, щоб тварини споживали повну дозу, а за обробленими тваринами слід спостерігати кілька хвилин після введення, щоб переконатися, що жодна частина дози препарату не втрачена або відкинута. </w:t>
      </w:r>
    </w:p>
    <w:p w:rsidR="000E28A0" w:rsidRPr="00647211" w:rsidRDefault="000E28A0" w:rsidP="006F7267">
      <w:pPr>
        <w:ind w:firstLine="567"/>
        <w:jc w:val="both"/>
      </w:pPr>
      <w:r w:rsidRPr="00647211">
        <w:t>Препарат застосовують собакам відповідно до наступної схеми:</w:t>
      </w:r>
    </w:p>
    <w:tbl>
      <w:tblPr>
        <w:tblW w:w="0" w:type="auto"/>
        <w:tblCellSpacing w:w="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9"/>
        <w:gridCol w:w="1701"/>
        <w:gridCol w:w="1701"/>
        <w:gridCol w:w="1830"/>
        <w:gridCol w:w="2131"/>
      </w:tblGrid>
      <w:tr w:rsidR="000E28A0" w:rsidRPr="00647211" w:rsidTr="00276C1F">
        <w:trPr>
          <w:tblCellSpacing w:w="0" w:type="dxa"/>
        </w:trPr>
        <w:tc>
          <w:tcPr>
            <w:tcW w:w="2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r w:rsidRPr="00647211">
              <w:t>Маса  таблетки, г</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r w:rsidRPr="00647211">
              <w:t>Маса тіла</w:t>
            </w:r>
          </w:p>
          <w:p w:rsidR="000E28A0" w:rsidRPr="00647211" w:rsidRDefault="000E28A0" w:rsidP="00276C1F">
            <w:r w:rsidRPr="00647211">
              <w:t>тварин, кг</w:t>
            </w:r>
          </w:p>
        </w:tc>
        <w:tc>
          <w:tcPr>
            <w:tcW w:w="5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center"/>
            </w:pPr>
            <w:r w:rsidRPr="00647211">
              <w:t>Вміст  таблетки</w:t>
            </w:r>
          </w:p>
        </w:tc>
      </w:tr>
      <w:tr w:rsidR="000E28A0" w:rsidRPr="00647211" w:rsidTr="00276C1F">
        <w:trPr>
          <w:tblCellSpacing w:w="0" w:type="dxa"/>
        </w:trPr>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0E28A0" w:rsidRPr="00647211" w:rsidRDefault="000E28A0" w:rsidP="00276C1F">
            <w:pPr>
              <w:ind w:firstLine="720"/>
              <w:jc w:val="both"/>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E28A0" w:rsidRPr="00647211" w:rsidRDefault="000E28A0" w:rsidP="00276C1F">
            <w:pPr>
              <w:ind w:firstLine="72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Імідаклоприд, мг</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r w:rsidRPr="00647211">
              <w:t>Люфенурон,</w:t>
            </w:r>
          </w:p>
          <w:p w:rsidR="000E28A0" w:rsidRPr="00647211" w:rsidRDefault="000E28A0" w:rsidP="00276C1F">
            <w:pPr>
              <w:ind w:firstLine="720"/>
            </w:pPr>
            <w:r w:rsidRPr="00647211">
              <w:t>мг</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Мільбеміцину оксим, мг</w:t>
            </w:r>
          </w:p>
        </w:tc>
      </w:tr>
      <w:tr w:rsidR="000E28A0" w:rsidRPr="00647211"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0,4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2,5 – 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6</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50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1,5</w:t>
            </w:r>
          </w:p>
        </w:tc>
      </w:tr>
      <w:tr w:rsidR="000E28A0" w:rsidRPr="00647211"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0,8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5,0 – 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3,0</w:t>
            </w:r>
          </w:p>
        </w:tc>
      </w:tr>
      <w:tr w:rsidR="000E28A0" w:rsidRPr="00647211"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10,0 – 20,0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24</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200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6,0</w:t>
            </w:r>
          </w:p>
        </w:tc>
      </w:tr>
      <w:tr w:rsidR="000E28A0" w:rsidRPr="00647211"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3,2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20,0 – 40,0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48</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400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12</w:t>
            </w:r>
          </w:p>
        </w:tc>
      </w:tr>
      <w:tr w:rsidR="000E28A0" w:rsidRPr="00647211" w:rsidTr="00276C1F">
        <w:trPr>
          <w:tblCellSpacing w:w="0" w:type="dxa"/>
        </w:trPr>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jc w:val="center"/>
            </w:pPr>
            <w:r w:rsidRPr="00647211">
              <w:t>40,0-60,0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72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600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E28A0" w:rsidRPr="00647211" w:rsidRDefault="000E28A0" w:rsidP="00276C1F">
            <w:pPr>
              <w:ind w:firstLine="720"/>
              <w:jc w:val="both"/>
            </w:pPr>
            <w:r w:rsidRPr="00647211">
              <w:t>18</w:t>
            </w:r>
          </w:p>
        </w:tc>
      </w:tr>
    </w:tbl>
    <w:p w:rsidR="000E28A0" w:rsidRPr="00647211" w:rsidRDefault="000E28A0" w:rsidP="006F7267">
      <w:pPr>
        <w:ind w:firstLine="567"/>
        <w:jc w:val="both"/>
      </w:pPr>
      <w:r w:rsidRPr="00647211">
        <w:t xml:space="preserve">Після одноразового застосування препарату його протипаразитарна дія триває до 5 тижнів. При ураженні блохами, отодектозі та іксодидозах таблетки застосовують одноразово, для запобігання повторній інвазії - один раз на 4-6 тижнів, протягом усього сезону активності ектопаразитів. </w:t>
      </w:r>
    </w:p>
    <w:p w:rsidR="000E28A0" w:rsidRPr="00647211" w:rsidRDefault="000E28A0" w:rsidP="006F7267">
      <w:pPr>
        <w:ind w:firstLine="567"/>
        <w:jc w:val="both"/>
      </w:pPr>
      <w:r w:rsidRPr="00647211">
        <w:t>Акарицидна дія препарату проявляється через 24 години, враховуючи це, обробки слід проводити не пізніше</w:t>
      </w:r>
      <w:r w:rsidR="00FC4891" w:rsidRPr="00647211">
        <w:rPr>
          <w:lang w:val="uk-UA"/>
        </w:rPr>
        <w:t>,</w:t>
      </w:r>
      <w:r w:rsidRPr="00647211">
        <w:t xml:space="preserve"> ніж за 24 години до передбачуваного вигулу тварини в місцях можливого проживання кліщів (парки, сквери, ліси).</w:t>
      </w:r>
    </w:p>
    <w:p w:rsidR="000E28A0" w:rsidRPr="00647211" w:rsidRDefault="000E28A0" w:rsidP="006F7267">
      <w:pPr>
        <w:ind w:firstLine="567"/>
        <w:jc w:val="both"/>
      </w:pPr>
      <w:r w:rsidRPr="00647211">
        <w:t>Інсектицидна дія препарату проявляється через 24 години, досягаючи максимального рівня через 48 годин.</w:t>
      </w:r>
    </w:p>
    <w:p w:rsidR="000E28A0" w:rsidRPr="00647211" w:rsidRDefault="000E28A0" w:rsidP="006F7267">
      <w:pPr>
        <w:ind w:firstLine="567"/>
        <w:jc w:val="both"/>
      </w:pPr>
      <w:r w:rsidRPr="00647211">
        <w:t>З метою знищення ектопаразитів у приміщенні та запобігання повторного зараження тварин будки, клітки, підстилки та попони обробляють інсектоакарацидним засобом, дозволеним до використання, відповідно до інструкції щодо застосування.</w:t>
      </w:r>
    </w:p>
    <w:p w:rsidR="000E28A0" w:rsidRPr="00647211" w:rsidRDefault="000E28A0" w:rsidP="006F7267">
      <w:pPr>
        <w:ind w:firstLine="567"/>
        <w:jc w:val="both"/>
      </w:pPr>
      <w:r w:rsidRPr="00647211">
        <w:t>При гельмінтозах тварин із лікувальною метою препарат застосовують за показаннями одноразово, при сильній інвазії обробку рекомендується повторити через 10-14 д</w:t>
      </w:r>
      <w:r w:rsidR="00276C1F" w:rsidRPr="00647211">
        <w:rPr>
          <w:lang w:val="uk-UA"/>
        </w:rPr>
        <w:t>іб</w:t>
      </w:r>
      <w:r w:rsidRPr="00647211">
        <w:t>. З профілактичною метою препарат застосовують у терапевтичній дозі один раз на 3 місяці, а також за 10-14 д</w:t>
      </w:r>
      <w:r w:rsidR="00276C1F" w:rsidRPr="00647211">
        <w:rPr>
          <w:lang w:val="uk-UA"/>
        </w:rPr>
        <w:t>іб</w:t>
      </w:r>
      <w:r w:rsidRPr="00647211">
        <w:t xml:space="preserve"> перед кожною вакцинацією.</w:t>
      </w:r>
    </w:p>
    <w:p w:rsidR="000E28A0" w:rsidRPr="00647211" w:rsidRDefault="000E28A0" w:rsidP="006F7267">
      <w:pPr>
        <w:ind w:firstLine="567"/>
        <w:jc w:val="both"/>
      </w:pPr>
      <w:r w:rsidRPr="00647211">
        <w:t xml:space="preserve">З метою профілактики дирофіляріозу в несприятливих щодо захворювання регіонах препарат використовують у весняно-літньо-осінній період: перед початком льоту комарів і москітів (переносників мікрофілярій L3 та L4 стадії ) одноразово, потім один раз на місяць і останній раз у сезоні через 1 місяць після завершення льоту комах. </w:t>
      </w:r>
    </w:p>
    <w:p w:rsidR="000E28A0" w:rsidRPr="00647211" w:rsidRDefault="000E28A0" w:rsidP="006F7267">
      <w:pPr>
        <w:ind w:firstLine="567"/>
        <w:jc w:val="both"/>
      </w:pPr>
      <w:r w:rsidRPr="00647211">
        <w:t>Препарат не знищує статевозрілих дирофілярій, але знижує кількість циркулюючих у крові мікрофілярій і може бути застосований також і інвазованим тваринам.</w:t>
      </w:r>
    </w:p>
    <w:p w:rsidR="000E28A0" w:rsidRPr="00647211" w:rsidRDefault="000E28A0" w:rsidP="006F7267">
      <w:pPr>
        <w:widowControl w:val="0"/>
        <w:ind w:right="454" w:firstLine="567"/>
        <w:jc w:val="both"/>
        <w:rPr>
          <w:b/>
          <w:snapToGrid w:val="0"/>
        </w:rPr>
      </w:pPr>
      <w:r w:rsidRPr="00647211">
        <w:rPr>
          <w:b/>
          <w:snapToGrid w:val="0"/>
        </w:rPr>
        <w:t>5.9 Передозування (симптоми, невідкладні заходи, антидоти)</w:t>
      </w:r>
    </w:p>
    <w:p w:rsidR="000E28A0" w:rsidRPr="00647211" w:rsidRDefault="000E28A0" w:rsidP="006F7267">
      <w:pPr>
        <w:ind w:firstLine="567"/>
        <w:jc w:val="both"/>
        <w:rPr>
          <w:lang w:val="uk-UA"/>
        </w:rPr>
      </w:pPr>
      <w:r w:rsidRPr="00647211">
        <w:rPr>
          <w:lang w:val="uk-UA"/>
        </w:rPr>
        <w:t xml:space="preserve">За передозування препарату або підвищеній індивідуальній чутливості тварин до препарату під час лікування може спостерігатися </w:t>
      </w:r>
      <w:r w:rsidRPr="00647211">
        <w:rPr>
          <w:rFonts w:eastAsia="Calibri"/>
          <w:lang w:val="uk-UA"/>
        </w:rPr>
        <w:t xml:space="preserve">пригнічений стан, відмова від корму, надмірне слиновиділення, розлад травного тракту. </w:t>
      </w:r>
      <w:r w:rsidRPr="00647211">
        <w:rPr>
          <w:lang w:val="uk-UA"/>
        </w:rPr>
        <w:t>За появи подібних симптомів потрібно негайно звернутися до лікаря ветеринарної медицини для можливого коригування дози та рекомендацій щодо подальшого лікування, при собі мати листівку-вкладку до препарату.</w:t>
      </w:r>
    </w:p>
    <w:p w:rsidR="000E28A0" w:rsidRPr="00647211" w:rsidRDefault="000E28A0" w:rsidP="006F7267">
      <w:pPr>
        <w:ind w:firstLine="567"/>
        <w:jc w:val="both"/>
        <w:rPr>
          <w:b/>
          <w:snapToGrid w:val="0"/>
        </w:rPr>
      </w:pPr>
      <w:r w:rsidRPr="00647211">
        <w:rPr>
          <w:b/>
          <w:snapToGrid w:val="0"/>
        </w:rPr>
        <w:t>5.10 Спеціальні застереження</w:t>
      </w:r>
    </w:p>
    <w:p w:rsidR="000E28A0" w:rsidRPr="00647211" w:rsidRDefault="000E28A0" w:rsidP="006F7267">
      <w:pPr>
        <w:ind w:firstLine="567"/>
        <w:jc w:val="both"/>
        <w:rPr>
          <w:lang w:val="uk-UA"/>
        </w:rPr>
      </w:pPr>
      <w:r w:rsidRPr="00647211">
        <w:rPr>
          <w:lang w:val="uk-UA"/>
        </w:rPr>
        <w:t xml:space="preserve">Препарат застосовувати згідно з листівкою-вкладкою. </w:t>
      </w:r>
    </w:p>
    <w:p w:rsidR="000E28A0" w:rsidRPr="00647211" w:rsidRDefault="000E28A0" w:rsidP="006F7267">
      <w:pPr>
        <w:shd w:val="clear" w:color="auto" w:fill="FFFFFF"/>
        <w:ind w:firstLine="567"/>
        <w:jc w:val="both"/>
        <w:rPr>
          <w:spacing w:val="-1"/>
          <w:lang w:val="uk-UA"/>
        </w:rPr>
      </w:pPr>
      <w:r w:rsidRPr="00647211">
        <w:rPr>
          <w:spacing w:val="-1"/>
          <w:lang w:val="uk-UA"/>
        </w:rPr>
        <w:t>Слід дотримуватися рекомендованих доз.</w:t>
      </w:r>
    </w:p>
    <w:p w:rsidR="000E28A0" w:rsidRPr="00647211" w:rsidRDefault="000E28A0" w:rsidP="006F7267">
      <w:pPr>
        <w:widowControl w:val="0"/>
        <w:ind w:firstLine="567"/>
        <w:jc w:val="both"/>
        <w:rPr>
          <w:rStyle w:val="cs7fb5c6073"/>
          <w:lang w:val="uk-UA"/>
        </w:rPr>
      </w:pPr>
      <w:r w:rsidRPr="00647211">
        <w:rPr>
          <w:rStyle w:val="cs5efed22f10"/>
          <w:snapToGrid w:val="0"/>
          <w:lang w:val="uk-UA"/>
        </w:rPr>
        <w:t>Клінічних ознак передозування за застосування препарату в рекомендованих дозах не спостерігається.</w:t>
      </w:r>
    </w:p>
    <w:p w:rsidR="000E28A0" w:rsidRPr="00647211" w:rsidRDefault="000E28A0" w:rsidP="006F7267">
      <w:pPr>
        <w:widowControl w:val="0"/>
        <w:ind w:right="454" w:firstLine="567"/>
        <w:jc w:val="both"/>
        <w:rPr>
          <w:b/>
          <w:snapToGrid w:val="0"/>
        </w:rPr>
      </w:pPr>
      <w:r w:rsidRPr="00647211">
        <w:rPr>
          <w:b/>
          <w:snapToGrid w:val="0"/>
        </w:rPr>
        <w:t>5.11 Період виведення (каренція)</w:t>
      </w:r>
    </w:p>
    <w:p w:rsidR="000E28A0" w:rsidRPr="00647211" w:rsidRDefault="000E28A0" w:rsidP="006F7267">
      <w:pPr>
        <w:ind w:right="454" w:firstLine="567"/>
        <w:jc w:val="both"/>
        <w:rPr>
          <w:b/>
          <w:lang w:val="uk-UA"/>
        </w:rPr>
      </w:pPr>
      <w:r w:rsidRPr="00647211">
        <w:rPr>
          <w:lang w:val="uk-UA"/>
        </w:rPr>
        <w:t>Для непродуктивних тварин не застосовується</w:t>
      </w:r>
      <w:r w:rsidR="00FC4891" w:rsidRPr="00647211">
        <w:rPr>
          <w:b/>
          <w:lang w:val="uk-UA"/>
        </w:rPr>
        <w:t>.</w:t>
      </w:r>
    </w:p>
    <w:p w:rsidR="000E28A0" w:rsidRPr="00647211" w:rsidRDefault="000E28A0" w:rsidP="006F7267">
      <w:pPr>
        <w:ind w:right="454" w:firstLine="567"/>
        <w:jc w:val="both"/>
        <w:rPr>
          <w:b/>
        </w:rPr>
      </w:pPr>
      <w:r w:rsidRPr="00647211">
        <w:rPr>
          <w:b/>
        </w:rPr>
        <w:t>5.12 Спеціальні застереження для осіб і обслуговуючого персоналу</w:t>
      </w:r>
    </w:p>
    <w:p w:rsidR="000E28A0" w:rsidRPr="00647211" w:rsidRDefault="000E28A0" w:rsidP="006F7267">
      <w:pPr>
        <w:ind w:firstLine="567"/>
        <w:jc w:val="both"/>
      </w:pPr>
      <w:r w:rsidRPr="00647211">
        <w:t>При роботі з препаратом дотримуватися основних правил гігієни та безпеки, прийнятих при роботі з ветеринарними препаратами.</w:t>
      </w:r>
    </w:p>
    <w:p w:rsidR="000E28A0" w:rsidRPr="00647211" w:rsidRDefault="000E28A0" w:rsidP="006F7267">
      <w:pPr>
        <w:ind w:firstLine="567"/>
        <w:jc w:val="both"/>
      </w:pPr>
      <w:r w:rsidRPr="00647211">
        <w:t>Після роботи з препаратом необхідно вимити руки з милом.</w:t>
      </w:r>
    </w:p>
    <w:p w:rsidR="000E28A0" w:rsidRPr="00647211" w:rsidRDefault="000E28A0" w:rsidP="006F7267">
      <w:pPr>
        <w:ind w:firstLine="567"/>
        <w:jc w:val="both"/>
      </w:pPr>
      <w:r w:rsidRPr="00647211">
        <w:t xml:space="preserve">При випадковому заковтуванні препарату людиною можливі розлади нервової системи, тому </w:t>
      </w:r>
      <w:r w:rsidR="00FC4891" w:rsidRPr="00647211">
        <w:rPr>
          <w:lang w:val="uk-UA"/>
        </w:rPr>
        <w:t>в</w:t>
      </w:r>
      <w:r w:rsidRPr="00647211">
        <w:t xml:space="preserve"> таких випадках необхідно відразу звернутися до лікаря (при собі мати листівку-вкладку або етикетку препарату).</w:t>
      </w:r>
    </w:p>
    <w:p w:rsidR="000E28A0" w:rsidRPr="00647211" w:rsidRDefault="000E28A0" w:rsidP="006F7267">
      <w:pPr>
        <w:widowControl w:val="0"/>
        <w:ind w:right="454" w:firstLine="567"/>
        <w:jc w:val="both"/>
        <w:rPr>
          <w:b/>
          <w:snapToGrid w:val="0"/>
        </w:rPr>
      </w:pPr>
      <w:r w:rsidRPr="00647211">
        <w:rPr>
          <w:b/>
          <w:snapToGrid w:val="0"/>
        </w:rPr>
        <w:t>6. Фармацевтичні особливості</w:t>
      </w:r>
    </w:p>
    <w:p w:rsidR="000E28A0" w:rsidRPr="00647211" w:rsidRDefault="000E28A0" w:rsidP="006F7267">
      <w:pPr>
        <w:pStyle w:val="31"/>
        <w:spacing w:after="0"/>
        <w:ind w:left="0" w:right="454" w:firstLine="567"/>
        <w:rPr>
          <w:b/>
          <w:sz w:val="24"/>
          <w:szCs w:val="24"/>
        </w:rPr>
      </w:pPr>
      <w:r w:rsidRPr="00647211">
        <w:rPr>
          <w:b/>
          <w:sz w:val="24"/>
          <w:szCs w:val="24"/>
        </w:rPr>
        <w:t>6.1 Форми несумісності (основні)</w:t>
      </w:r>
    </w:p>
    <w:p w:rsidR="000E28A0" w:rsidRPr="00647211" w:rsidRDefault="000E28A0" w:rsidP="006F7267">
      <w:pPr>
        <w:ind w:firstLine="567"/>
        <w:jc w:val="both"/>
        <w:rPr>
          <w:rFonts w:eastAsia="Calibri"/>
          <w:lang w:val="uk-UA"/>
        </w:rPr>
      </w:pPr>
      <w:r w:rsidRPr="00647211">
        <w:rPr>
          <w:rFonts w:eastAsia="Calibri"/>
          <w:lang w:val="uk-UA"/>
        </w:rPr>
        <w:t>Не застосовувати одночасно з іншими протипаразитарними засобами, що містять макроциклічні лактони, з піперазином і препаратами, які інгібують холінестеразу</w:t>
      </w:r>
      <w:r w:rsidR="00FC4891" w:rsidRPr="00647211">
        <w:rPr>
          <w:rFonts w:eastAsia="Calibri"/>
          <w:lang w:val="uk-UA"/>
        </w:rPr>
        <w:t>.</w:t>
      </w:r>
    </w:p>
    <w:p w:rsidR="000E28A0" w:rsidRPr="00647211" w:rsidRDefault="000E28A0" w:rsidP="006F7267">
      <w:pPr>
        <w:ind w:firstLine="567"/>
        <w:jc w:val="both"/>
        <w:rPr>
          <w:b/>
          <w:snapToGrid w:val="0"/>
        </w:rPr>
      </w:pPr>
      <w:r w:rsidRPr="00647211">
        <w:rPr>
          <w:b/>
          <w:snapToGrid w:val="0"/>
        </w:rPr>
        <w:t>6.2 Термін придатності</w:t>
      </w:r>
    </w:p>
    <w:p w:rsidR="000E28A0" w:rsidRPr="00647211" w:rsidRDefault="000E28A0" w:rsidP="006F7267">
      <w:pPr>
        <w:widowControl w:val="0"/>
        <w:ind w:right="454" w:firstLine="567"/>
        <w:jc w:val="both"/>
        <w:rPr>
          <w:snapToGrid w:val="0"/>
        </w:rPr>
      </w:pPr>
      <w:r w:rsidRPr="00647211">
        <w:rPr>
          <w:rStyle w:val="cs5efed22f13"/>
          <w:snapToGrid w:val="0"/>
          <w:lang w:val="uk-UA"/>
        </w:rPr>
        <w:t>3</w:t>
      </w:r>
      <w:r w:rsidRPr="00647211">
        <w:rPr>
          <w:rStyle w:val="cs5efed22f13"/>
          <w:snapToGrid w:val="0"/>
        </w:rPr>
        <w:t xml:space="preserve"> роки.</w:t>
      </w:r>
    </w:p>
    <w:p w:rsidR="000E28A0" w:rsidRPr="00647211" w:rsidRDefault="000E28A0" w:rsidP="006F7267">
      <w:pPr>
        <w:widowControl w:val="0"/>
        <w:ind w:right="454" w:firstLine="567"/>
        <w:jc w:val="both"/>
        <w:rPr>
          <w:b/>
          <w:snapToGrid w:val="0"/>
        </w:rPr>
      </w:pPr>
      <w:r w:rsidRPr="00647211">
        <w:rPr>
          <w:b/>
          <w:snapToGrid w:val="0"/>
        </w:rPr>
        <w:t>6.3 Особливі заходи зберігання</w:t>
      </w:r>
    </w:p>
    <w:p w:rsidR="000E28A0" w:rsidRPr="00647211" w:rsidRDefault="000E28A0" w:rsidP="006F7267">
      <w:pPr>
        <w:widowControl w:val="0"/>
        <w:ind w:right="-36" w:firstLine="567"/>
        <w:jc w:val="both"/>
        <w:rPr>
          <w:b/>
          <w:snapToGrid w:val="0"/>
        </w:rPr>
      </w:pPr>
      <w:r w:rsidRPr="00647211">
        <w:t xml:space="preserve">Зберігати препарат в оригінальній упаковці </w:t>
      </w:r>
      <w:r w:rsidR="00FC4891" w:rsidRPr="00647211">
        <w:rPr>
          <w:lang w:val="uk-UA"/>
        </w:rPr>
        <w:t>в</w:t>
      </w:r>
      <w:r w:rsidRPr="00647211">
        <w:t xml:space="preserve"> сухому, захищеному від світла та недоступному для дітей і тварин місці за температури від 0 до 25 °С</w:t>
      </w:r>
      <w:r w:rsidR="00FC4891" w:rsidRPr="00647211">
        <w:rPr>
          <w:lang w:val="uk-UA"/>
        </w:rPr>
        <w:t>.</w:t>
      </w:r>
      <w:r w:rsidRPr="00647211">
        <w:rPr>
          <w:b/>
          <w:snapToGrid w:val="0"/>
        </w:rPr>
        <w:t xml:space="preserve"> </w:t>
      </w:r>
    </w:p>
    <w:p w:rsidR="000E28A0" w:rsidRPr="00647211" w:rsidRDefault="000E28A0" w:rsidP="006F7267">
      <w:pPr>
        <w:widowControl w:val="0"/>
        <w:ind w:right="-36" w:firstLine="567"/>
        <w:jc w:val="both"/>
        <w:rPr>
          <w:b/>
          <w:snapToGrid w:val="0"/>
        </w:rPr>
      </w:pPr>
      <w:r w:rsidRPr="00647211">
        <w:rPr>
          <w:b/>
          <w:snapToGrid w:val="0"/>
        </w:rPr>
        <w:t>6.4 Природа і склад контейнера первинного пакування</w:t>
      </w:r>
    </w:p>
    <w:p w:rsidR="000E28A0" w:rsidRPr="00647211" w:rsidRDefault="000E28A0" w:rsidP="006F7267">
      <w:pPr>
        <w:ind w:firstLine="567"/>
        <w:jc w:val="both"/>
      </w:pPr>
      <w:r w:rsidRPr="00647211">
        <w:t>Таблетки</w:t>
      </w:r>
      <w:r w:rsidRPr="00647211">
        <w:rPr>
          <w:lang w:val="uk-UA"/>
        </w:rPr>
        <w:t xml:space="preserve"> </w:t>
      </w:r>
      <w:r w:rsidRPr="00647211">
        <w:rPr>
          <w:spacing w:val="-1"/>
          <w:lang w:val="uk-UA"/>
        </w:rPr>
        <w:t>масою 0,4, 0,8, 1,6, 3,2 або 4,8 г</w:t>
      </w:r>
      <w:r w:rsidR="00FC4891" w:rsidRPr="00647211">
        <w:rPr>
          <w:spacing w:val="-1"/>
          <w:lang w:val="uk-UA"/>
        </w:rPr>
        <w:t>,</w:t>
      </w:r>
      <w:r w:rsidRPr="00647211">
        <w:t xml:space="preserve"> за</w:t>
      </w:r>
      <w:r w:rsidR="00FC4891" w:rsidRPr="00647211">
        <w:t>паковані по 1 штуці </w:t>
      </w:r>
      <w:r w:rsidR="00FC4891" w:rsidRPr="00647211">
        <w:rPr>
          <w:lang w:val="uk-UA"/>
        </w:rPr>
        <w:t>в</w:t>
      </w:r>
      <w:r w:rsidRPr="00647211">
        <w:t xml:space="preserve"> блістери. Блістери упаковані по 1 або 2 штуки в картонну коробку разом із листівкою-вкладкою.</w:t>
      </w:r>
    </w:p>
    <w:p w:rsidR="000E28A0" w:rsidRPr="00647211" w:rsidRDefault="000E28A0" w:rsidP="006F7267">
      <w:pPr>
        <w:shd w:val="clear" w:color="auto" w:fill="FFFFFF"/>
        <w:ind w:firstLine="567"/>
        <w:jc w:val="both"/>
        <w:rPr>
          <w:b/>
        </w:rPr>
      </w:pPr>
      <w:r w:rsidRPr="00647211">
        <w:rPr>
          <w:b/>
        </w:rPr>
        <w:t>6.5 Особливі заходи безпеки при поводженні з невикористаним препаратом або із його залишками</w:t>
      </w:r>
    </w:p>
    <w:p w:rsidR="000E28A0" w:rsidRPr="00647211" w:rsidRDefault="000E28A0" w:rsidP="006F7267">
      <w:pPr>
        <w:pStyle w:val="31"/>
        <w:spacing w:after="0"/>
        <w:ind w:left="0" w:right="-36" w:firstLine="567"/>
        <w:jc w:val="both"/>
        <w:rPr>
          <w:sz w:val="24"/>
          <w:szCs w:val="24"/>
        </w:rPr>
      </w:pPr>
      <w:r w:rsidRPr="00647211">
        <w:rPr>
          <w:rStyle w:val="cs5efed22f16"/>
        </w:rPr>
        <w:t>Невикористаний або протермінований препарат утилізують відповідно до вимог чинного законодавства.</w:t>
      </w:r>
    </w:p>
    <w:p w:rsidR="000E28A0" w:rsidRPr="00647211" w:rsidRDefault="000E28A0" w:rsidP="006F7267">
      <w:pPr>
        <w:pStyle w:val="31"/>
        <w:spacing w:after="0"/>
        <w:ind w:left="0" w:right="454" w:firstLine="567"/>
        <w:rPr>
          <w:sz w:val="24"/>
          <w:szCs w:val="24"/>
        </w:rPr>
      </w:pPr>
      <w:r w:rsidRPr="00647211">
        <w:rPr>
          <w:b/>
          <w:sz w:val="24"/>
          <w:szCs w:val="24"/>
        </w:rPr>
        <w:t>7. Назва і місце знаходження власника реєстраційного посвідчення</w:t>
      </w:r>
    </w:p>
    <w:p w:rsidR="000E28A0" w:rsidRPr="00647211" w:rsidRDefault="000E28A0" w:rsidP="006F7267">
      <w:pPr>
        <w:ind w:firstLine="567"/>
      </w:pPr>
      <w:r w:rsidRPr="00647211">
        <w:t xml:space="preserve">Товариство з обмеженою відповідальністю “Ветсинтез” </w:t>
      </w:r>
    </w:p>
    <w:p w:rsidR="000E28A0" w:rsidRPr="00647211" w:rsidRDefault="000E28A0" w:rsidP="006F7267">
      <w:pPr>
        <w:ind w:firstLine="567"/>
      </w:pPr>
      <w:r w:rsidRPr="00647211">
        <w:t xml:space="preserve">61001, м. Харків, вул. </w:t>
      </w:r>
      <w:r w:rsidRPr="00647211">
        <w:rPr>
          <w:lang w:val="uk-UA"/>
        </w:rPr>
        <w:t>Бобанича Тараса</w:t>
      </w:r>
      <w:r w:rsidRPr="00647211">
        <w:t>, 30, Україна</w:t>
      </w:r>
    </w:p>
    <w:p w:rsidR="007E2FA3" w:rsidRPr="00647211" w:rsidRDefault="007E2FA3" w:rsidP="006F7267">
      <w:pPr>
        <w:ind w:firstLine="567"/>
        <w:jc w:val="both"/>
        <w:rPr>
          <w:b/>
          <w:bCs/>
        </w:rPr>
      </w:pPr>
    </w:p>
    <w:p w:rsidR="000E28A0" w:rsidRPr="00647211" w:rsidRDefault="000E28A0" w:rsidP="006F7267">
      <w:pPr>
        <w:ind w:firstLine="567"/>
        <w:jc w:val="both"/>
        <w:rPr>
          <w:b/>
          <w:bCs/>
        </w:rPr>
      </w:pPr>
      <w:r w:rsidRPr="00647211">
        <w:rPr>
          <w:b/>
          <w:bCs/>
        </w:rPr>
        <w:t>8. Назва та місцезнаходження виробника (виробників)</w:t>
      </w:r>
    </w:p>
    <w:p w:rsidR="000E28A0" w:rsidRPr="00647211" w:rsidRDefault="000E28A0" w:rsidP="006F7267">
      <w:pPr>
        <w:ind w:firstLine="567"/>
      </w:pPr>
      <w:r w:rsidRPr="00647211">
        <w:t>Товариство з обмеж</w:t>
      </w:r>
      <w:bookmarkStart w:id="0" w:name="_GoBack"/>
      <w:bookmarkEnd w:id="0"/>
      <w:r w:rsidRPr="00647211">
        <w:t xml:space="preserve">еною відповідальністю “Ветсинтез” </w:t>
      </w:r>
    </w:p>
    <w:p w:rsidR="000E28A0" w:rsidRPr="00647211" w:rsidRDefault="000E28A0" w:rsidP="006F7267">
      <w:pPr>
        <w:ind w:firstLine="567"/>
      </w:pPr>
      <w:r w:rsidRPr="00647211">
        <w:t xml:space="preserve">61001, м. Харків, вул. </w:t>
      </w:r>
      <w:r w:rsidRPr="00647211">
        <w:rPr>
          <w:lang w:val="uk-UA"/>
        </w:rPr>
        <w:t>Бобанича Тараса</w:t>
      </w:r>
      <w:r w:rsidRPr="00647211">
        <w:t>, 30, Україна</w:t>
      </w:r>
    </w:p>
    <w:p w:rsidR="000E28A0" w:rsidRPr="000F6A7E" w:rsidRDefault="000E28A0" w:rsidP="006F7267">
      <w:pPr>
        <w:ind w:right="454" w:firstLine="567"/>
        <w:jc w:val="both"/>
        <w:rPr>
          <w:b/>
        </w:rPr>
      </w:pPr>
      <w:r w:rsidRPr="00647211">
        <w:rPr>
          <w:b/>
        </w:rPr>
        <w:t>9. Додаткова інформація</w:t>
      </w:r>
    </w:p>
    <w:p w:rsidR="00DB10F8" w:rsidRDefault="00DB10F8"/>
    <w:sectPr w:rsidR="00DB10F8" w:rsidSect="006F7267">
      <w:headerReference w:type="default" r:id="rId7"/>
      <w:foot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074" w:rsidRDefault="002E6074" w:rsidP="002157C2">
      <w:r>
        <w:separator/>
      </w:r>
    </w:p>
  </w:endnote>
  <w:endnote w:type="continuationSeparator" w:id="0">
    <w:p w:rsidR="002E6074" w:rsidRDefault="002E6074" w:rsidP="0021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482147"/>
      <w:docPartObj>
        <w:docPartGallery w:val="Page Numbers (Bottom of Page)"/>
        <w:docPartUnique/>
      </w:docPartObj>
    </w:sdtPr>
    <w:sdtEndPr/>
    <w:sdtContent>
      <w:p w:rsidR="00276C1F" w:rsidRDefault="00276C1F">
        <w:pPr>
          <w:pStyle w:val="a9"/>
          <w:jc w:val="center"/>
        </w:pPr>
        <w:r>
          <w:fldChar w:fldCharType="begin"/>
        </w:r>
        <w:r>
          <w:instrText>PAGE   \* MERGEFORMAT</w:instrText>
        </w:r>
        <w:r>
          <w:fldChar w:fldCharType="separate"/>
        </w:r>
        <w:r w:rsidR="00647211">
          <w:rPr>
            <w:noProof/>
          </w:rPr>
          <w:t>2</w:t>
        </w:r>
        <w:r>
          <w:fldChar w:fldCharType="end"/>
        </w:r>
      </w:p>
    </w:sdtContent>
  </w:sdt>
  <w:p w:rsidR="00276C1F" w:rsidRDefault="00276C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074" w:rsidRDefault="002E6074" w:rsidP="002157C2">
      <w:r>
        <w:separator/>
      </w:r>
    </w:p>
  </w:footnote>
  <w:footnote w:type="continuationSeparator" w:id="0">
    <w:p w:rsidR="002E6074" w:rsidRDefault="002E6074" w:rsidP="0021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67" w:rsidRDefault="006F7267" w:rsidP="006F7267">
    <w:pPr>
      <w:pStyle w:val="11"/>
      <w:ind w:firstLine="709"/>
      <w:jc w:val="right"/>
      <w:rPr>
        <w:sz w:val="24"/>
        <w:szCs w:val="24"/>
        <w:lang w:val="uk-UA"/>
      </w:rPr>
    </w:pPr>
    <w:r>
      <w:rPr>
        <w:sz w:val="24"/>
        <w:szCs w:val="24"/>
        <w:lang w:val="uk-UA"/>
      </w:rPr>
      <w:t>Продовження додатку 1</w:t>
    </w:r>
  </w:p>
  <w:p w:rsidR="006F7267" w:rsidRDefault="006F7267" w:rsidP="006F7267">
    <w:pPr>
      <w:pStyle w:val="11"/>
      <w:ind w:firstLine="709"/>
      <w:jc w:val="right"/>
      <w:rPr>
        <w:sz w:val="24"/>
        <w:szCs w:val="24"/>
        <w:lang w:val="uk-UA"/>
      </w:rPr>
    </w:pPr>
    <w:r>
      <w:rPr>
        <w:sz w:val="24"/>
        <w:szCs w:val="24"/>
        <w:lang w:val="uk-UA"/>
      </w:rPr>
      <w:t>до реєстраційного посвідчення</w:t>
    </w:r>
  </w:p>
  <w:p w:rsidR="006F7267" w:rsidRDefault="006F72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67" w:rsidRDefault="006F7267" w:rsidP="006F7267">
    <w:pPr>
      <w:pStyle w:val="11"/>
      <w:ind w:firstLine="709"/>
      <w:jc w:val="right"/>
      <w:rPr>
        <w:sz w:val="24"/>
        <w:szCs w:val="24"/>
        <w:lang w:val="uk-UA"/>
      </w:rPr>
    </w:pPr>
    <w:r>
      <w:rPr>
        <w:sz w:val="24"/>
        <w:szCs w:val="24"/>
        <w:lang w:val="uk-UA"/>
      </w:rPr>
      <w:t>Додаток 1</w:t>
    </w:r>
  </w:p>
  <w:p w:rsidR="006F7267" w:rsidRDefault="006F7267" w:rsidP="006F7267">
    <w:pPr>
      <w:pStyle w:val="11"/>
      <w:ind w:firstLine="709"/>
      <w:jc w:val="right"/>
      <w:rPr>
        <w:sz w:val="24"/>
        <w:szCs w:val="24"/>
        <w:lang w:val="uk-UA"/>
      </w:rPr>
    </w:pPr>
    <w:r>
      <w:rPr>
        <w:sz w:val="24"/>
        <w:szCs w:val="24"/>
        <w:lang w:val="uk-UA"/>
      </w:rPr>
      <w:t>до реєстраційного посвідчення</w:t>
    </w:r>
  </w:p>
  <w:p w:rsidR="006F7267" w:rsidRDefault="006F726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5D"/>
    <w:rsid w:val="000277E1"/>
    <w:rsid w:val="000848E1"/>
    <w:rsid w:val="000B6992"/>
    <w:rsid w:val="000E28A0"/>
    <w:rsid w:val="0014616E"/>
    <w:rsid w:val="00171125"/>
    <w:rsid w:val="00184D48"/>
    <w:rsid w:val="002157C2"/>
    <w:rsid w:val="00276C1F"/>
    <w:rsid w:val="002E6074"/>
    <w:rsid w:val="0031619E"/>
    <w:rsid w:val="00396F4A"/>
    <w:rsid w:val="00426035"/>
    <w:rsid w:val="00645258"/>
    <w:rsid w:val="00647211"/>
    <w:rsid w:val="00691CEC"/>
    <w:rsid w:val="006F7267"/>
    <w:rsid w:val="007B325D"/>
    <w:rsid w:val="007C1079"/>
    <w:rsid w:val="007E2FA3"/>
    <w:rsid w:val="008A6904"/>
    <w:rsid w:val="008C5278"/>
    <w:rsid w:val="00901AF4"/>
    <w:rsid w:val="00D01109"/>
    <w:rsid w:val="00DB10F8"/>
    <w:rsid w:val="00FB221A"/>
    <w:rsid w:val="00FC4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9FBB2-B774-4979-88C6-8FAD7D72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A0"/>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line="360" w:lineRule="auto"/>
      <w:jc w:val="center"/>
      <w:outlineLvl w:val="0"/>
    </w:pPr>
    <w:rPr>
      <w:rFonts w:eastAsiaTheme="majorEastAsia" w:cstheme="majorBidi"/>
      <w:b/>
      <w:color w:val="000000" w:themeColor="text1"/>
      <w:sz w:val="28"/>
      <w:szCs w:val="40"/>
      <w:lang w:eastAsia="en-US"/>
    </w:rPr>
  </w:style>
  <w:style w:type="paragraph" w:styleId="2">
    <w:name w:val="heading 2"/>
    <w:basedOn w:val="a"/>
    <w:next w:val="a"/>
    <w:link w:val="20"/>
    <w:uiPriority w:val="9"/>
    <w:unhideWhenUsed/>
    <w:qFormat/>
    <w:rsid w:val="00901AF4"/>
    <w:pPr>
      <w:keepNext/>
      <w:keepLines/>
      <w:spacing w:before="480" w:after="480" w:line="360" w:lineRule="auto"/>
      <w:ind w:firstLine="709"/>
      <w:jc w:val="both"/>
      <w:outlineLvl w:val="1"/>
    </w:pPr>
    <w:rPr>
      <w:rFonts w:eastAsiaTheme="majorEastAsia" w:cstheme="majorBidi"/>
      <w:b/>
      <w:color w:val="000000" w:themeColor="text1"/>
      <w:sz w:val="28"/>
      <w:szCs w:val="26"/>
      <w:lang w:eastAsia="en-US"/>
    </w:rPr>
  </w:style>
  <w:style w:type="paragraph" w:styleId="3">
    <w:name w:val="heading 3"/>
    <w:basedOn w:val="a"/>
    <w:next w:val="a"/>
    <w:link w:val="30"/>
    <w:rsid w:val="00FB221A"/>
    <w:pPr>
      <w:keepNext/>
      <w:keepLines/>
      <w:spacing w:before="480" w:after="480" w:line="360" w:lineRule="auto"/>
      <w:ind w:firstLine="709"/>
      <w:jc w:val="both"/>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pPr>
      <w:spacing w:line="360" w:lineRule="auto"/>
      <w:ind w:firstLine="709"/>
      <w:jc w:val="both"/>
    </w:pPr>
    <w:rPr>
      <w:rFonts w:eastAsiaTheme="minorHAnsi"/>
      <w:sz w:val="28"/>
      <w:szCs w:val="22"/>
      <w:lang w:eastAsia="en-US"/>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eastAsiaTheme="minorHAnsi" w:cstheme="minorBidi"/>
      <w:bCs/>
      <w:kern w:val="2"/>
      <w:sz w:val="28"/>
      <w:szCs w:val="22"/>
      <w:lang w:val="uk-UA" w:eastAsia="en-US"/>
      <w14:ligatures w14:val="standardContextual"/>
    </w:rPr>
  </w:style>
  <w:style w:type="paragraph" w:styleId="31">
    <w:name w:val="Body Text Indent 3"/>
    <w:basedOn w:val="a"/>
    <w:link w:val="32"/>
    <w:rsid w:val="000E28A0"/>
    <w:pPr>
      <w:spacing w:after="120"/>
      <w:ind w:left="283"/>
    </w:pPr>
    <w:rPr>
      <w:sz w:val="16"/>
      <w:szCs w:val="16"/>
      <w:lang w:val="x-none"/>
    </w:rPr>
  </w:style>
  <w:style w:type="character" w:customStyle="1" w:styleId="32">
    <w:name w:val="Основний текст з відступом 3 Знак"/>
    <w:basedOn w:val="a0"/>
    <w:link w:val="31"/>
    <w:rsid w:val="000E28A0"/>
    <w:rPr>
      <w:rFonts w:eastAsia="Times New Roman"/>
      <w:sz w:val="16"/>
      <w:szCs w:val="16"/>
      <w:lang w:val="x-none" w:eastAsia="ru-RU"/>
    </w:rPr>
  </w:style>
  <w:style w:type="paragraph" w:customStyle="1" w:styleId="11">
    <w:name w:val="Обычный1"/>
    <w:rsid w:val="000E28A0"/>
    <w:pPr>
      <w:widowControl w:val="0"/>
      <w:spacing w:after="0" w:line="240" w:lineRule="auto"/>
    </w:pPr>
    <w:rPr>
      <w:rFonts w:eastAsia="Times New Roman"/>
      <w:snapToGrid w:val="0"/>
      <w:sz w:val="20"/>
      <w:szCs w:val="20"/>
      <w:lang w:eastAsia="ru-RU"/>
    </w:rPr>
  </w:style>
  <w:style w:type="character" w:customStyle="1" w:styleId="cs5efed22f1">
    <w:name w:val="cs5efed22f1"/>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8f3868831">
    <w:name w:val="cs8f3868831"/>
    <w:rsid w:val="000E28A0"/>
    <w:rPr>
      <w:rFonts w:ascii="Times New Roman" w:hAnsi="Times New Roman" w:cs="Times New Roman" w:hint="default"/>
      <w:b/>
      <w:bCs/>
      <w:i/>
      <w:iCs/>
      <w:color w:val="000000"/>
      <w:sz w:val="24"/>
      <w:szCs w:val="24"/>
      <w:shd w:val="clear" w:color="auto" w:fill="auto"/>
    </w:rPr>
  </w:style>
  <w:style w:type="character" w:customStyle="1" w:styleId="cs5efed22f2">
    <w:name w:val="cs5efed22f2"/>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7fb5c6073">
    <w:name w:val="cs7fb5c6073"/>
    <w:basedOn w:val="a0"/>
    <w:rsid w:val="000E28A0"/>
  </w:style>
  <w:style w:type="character" w:customStyle="1" w:styleId="cs5efed22f5">
    <w:name w:val="cs5efed22f5"/>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0">
    <w:name w:val="cs5efed22f10"/>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3">
    <w:name w:val="cs5efed22f13"/>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cs5efed22f16">
    <w:name w:val="cs5efed22f16"/>
    <w:rsid w:val="000E28A0"/>
    <w:rPr>
      <w:rFonts w:ascii="Times New Roman" w:hAnsi="Times New Roman" w:cs="Times New Roman" w:hint="default"/>
      <w:b w:val="0"/>
      <w:bCs w:val="0"/>
      <w:i w:val="0"/>
      <w:iCs w:val="0"/>
      <w:color w:val="000000"/>
      <w:sz w:val="24"/>
      <w:szCs w:val="24"/>
      <w:shd w:val="clear" w:color="auto" w:fill="auto"/>
    </w:rPr>
  </w:style>
  <w:style w:type="character" w:customStyle="1" w:styleId="docdata">
    <w:name w:val="docdata"/>
    <w:aliases w:val="docy,v5,1520,bqiaagaaeyqcaaagiaiaaanxbqaabwufaaaaaaaaaaaaaaaaaaaaaaaaaaaaaaaaaaaaaaaaaaaaaaaaaaaaaaaaaaaaaaaaaaaaaaaaaaaaaaaaaaaaaaaaaaaaaaaaaaaaaaaaaaaaaaaaaaaaaaaaaaaaaaaaaaaaaaaaaaaaaaaaaaaaaaaaaaaaaaaaaaaaaaaaaaaaaaaaaaaaaaaaaaaaaaaaaaaaaaaa"/>
    <w:rsid w:val="000E28A0"/>
  </w:style>
  <w:style w:type="paragraph" w:customStyle="1" w:styleId="cs242d954b">
    <w:name w:val="cs242d954b"/>
    <w:basedOn w:val="a"/>
    <w:rsid w:val="000E28A0"/>
    <w:pPr>
      <w:ind w:right="-40" w:firstLine="560"/>
      <w:jc w:val="both"/>
    </w:pPr>
    <w:rPr>
      <w:lang w:val="uk-UA" w:eastAsia="uk-UA"/>
    </w:rPr>
  </w:style>
  <w:style w:type="paragraph" w:customStyle="1" w:styleId="csccbacf97">
    <w:name w:val="csccbacf97"/>
    <w:basedOn w:val="a"/>
    <w:rsid w:val="000E28A0"/>
    <w:pPr>
      <w:ind w:right="-40" w:firstLine="560"/>
    </w:pPr>
    <w:rPr>
      <w:lang w:val="uk-UA" w:eastAsia="uk-UA"/>
    </w:rPr>
  </w:style>
  <w:style w:type="character" w:customStyle="1" w:styleId="csa62dfd6a2">
    <w:name w:val="csa62dfd6a2"/>
    <w:rsid w:val="000E28A0"/>
    <w:rPr>
      <w:rFonts w:ascii="Times New Roman" w:hAnsi="Times New Roman" w:cs="Times New Roman" w:hint="default"/>
      <w:b w:val="0"/>
      <w:bCs w:val="0"/>
      <w:i/>
      <w:iCs/>
      <w:color w:val="000000"/>
      <w:sz w:val="24"/>
      <w:szCs w:val="24"/>
      <w:shd w:val="clear" w:color="auto" w:fill="auto"/>
    </w:rPr>
  </w:style>
  <w:style w:type="character" w:styleId="a6">
    <w:name w:val="Book Title"/>
    <w:qFormat/>
    <w:rsid w:val="000E28A0"/>
    <w:rPr>
      <w:b/>
      <w:bCs/>
      <w:i/>
      <w:iCs/>
      <w:spacing w:val="5"/>
    </w:rPr>
  </w:style>
  <w:style w:type="paragraph" w:customStyle="1" w:styleId="12">
    <w:name w:val="???????? ?????1"/>
    <w:rsid w:val="000E28A0"/>
    <w:pPr>
      <w:spacing w:line="261" w:lineRule="auto"/>
      <w:ind w:firstLine="400"/>
    </w:pPr>
    <w:rPr>
      <w:rFonts w:ascii="Calibri" w:eastAsia="Times New Roman" w:hAnsi="Calibri"/>
      <w:sz w:val="22"/>
      <w:szCs w:val="20"/>
      <w:lang w:val="uk-UA" w:eastAsia="uk-UA"/>
    </w:rPr>
  </w:style>
  <w:style w:type="paragraph" w:styleId="a7">
    <w:name w:val="header"/>
    <w:basedOn w:val="a"/>
    <w:link w:val="a8"/>
    <w:uiPriority w:val="99"/>
    <w:unhideWhenUsed/>
    <w:rsid w:val="002157C2"/>
    <w:pPr>
      <w:tabs>
        <w:tab w:val="center" w:pos="4677"/>
        <w:tab w:val="right" w:pos="9355"/>
      </w:tabs>
    </w:pPr>
  </w:style>
  <w:style w:type="character" w:customStyle="1" w:styleId="a8">
    <w:name w:val="Верхній колонтитул Знак"/>
    <w:basedOn w:val="a0"/>
    <w:link w:val="a7"/>
    <w:uiPriority w:val="99"/>
    <w:rsid w:val="002157C2"/>
    <w:rPr>
      <w:rFonts w:eastAsia="Times New Roman"/>
      <w:sz w:val="24"/>
      <w:szCs w:val="24"/>
      <w:lang w:eastAsia="ru-RU"/>
    </w:rPr>
  </w:style>
  <w:style w:type="paragraph" w:styleId="a9">
    <w:name w:val="footer"/>
    <w:basedOn w:val="a"/>
    <w:link w:val="aa"/>
    <w:uiPriority w:val="99"/>
    <w:unhideWhenUsed/>
    <w:rsid w:val="002157C2"/>
    <w:pPr>
      <w:tabs>
        <w:tab w:val="center" w:pos="4677"/>
        <w:tab w:val="right" w:pos="9355"/>
      </w:tabs>
    </w:pPr>
  </w:style>
  <w:style w:type="character" w:customStyle="1" w:styleId="aa">
    <w:name w:val="Нижній колонтитул Знак"/>
    <w:basedOn w:val="a0"/>
    <w:link w:val="a9"/>
    <w:uiPriority w:val="99"/>
    <w:rsid w:val="002157C2"/>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CAB7-B377-441A-9870-63AEE1BE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7626</Words>
  <Characters>4347</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12</cp:revision>
  <dcterms:created xsi:type="dcterms:W3CDTF">2026-02-24T09:55:00Z</dcterms:created>
  <dcterms:modified xsi:type="dcterms:W3CDTF">2026-04-16T09:30:00Z</dcterms:modified>
</cp:coreProperties>
</file>