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04A8" w:rsidRDefault="00C104A8" w:rsidP="00735B88">
      <w:pPr>
        <w:jc w:val="right"/>
        <w:rPr>
          <w:lang w:val="uk-UA"/>
        </w:rPr>
      </w:pPr>
      <w:r w:rsidRPr="00735B88">
        <w:rPr>
          <w:lang w:val="uk-UA"/>
        </w:rPr>
        <w:t>Додаток 1</w:t>
      </w: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C104A8" w:rsidRPr="00735B88" w:rsidRDefault="00C104A8" w:rsidP="00735B88">
      <w:pPr>
        <w:jc w:val="right"/>
        <w:rPr>
          <w:lang w:val="uk-UA"/>
        </w:rPr>
      </w:pPr>
    </w:p>
    <w:p w:rsidR="00C104A8" w:rsidRDefault="00C104A8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C104A8" w:rsidRDefault="00C104A8">
      <w:pPr>
        <w:jc w:val="center"/>
        <w:rPr>
          <w:b/>
        </w:rPr>
      </w:pPr>
    </w:p>
    <w:p w:rsidR="00C104A8" w:rsidRPr="00145205" w:rsidRDefault="00C104A8" w:rsidP="00145205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145205">
        <w:rPr>
          <w:b/>
          <w:lang w:val="uk-UA" w:eastAsia="en-US"/>
        </w:rPr>
        <w:t>1. Назва</w:t>
      </w:r>
    </w:p>
    <w:p w:rsidR="00C104A8" w:rsidRPr="00145205" w:rsidRDefault="00C104A8" w:rsidP="00145205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>
        <w:rPr>
          <w:lang w:val="uk-UA" w:eastAsia="en-US"/>
        </w:rPr>
        <w:t>АМЕКС</w:t>
      </w:r>
    </w:p>
    <w:p w:rsidR="00C104A8" w:rsidRPr="00145205" w:rsidRDefault="00C104A8" w:rsidP="00145205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2. Склад</w:t>
      </w:r>
    </w:p>
    <w:p w:rsidR="00C104A8" w:rsidRPr="005D5521" w:rsidRDefault="00C104A8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145205">
        <w:rPr>
          <w:color w:val="000000"/>
          <w:lang w:val="uk-UA" w:eastAsia="en-US"/>
        </w:rPr>
        <w:t xml:space="preserve">        </w:t>
      </w:r>
      <w:r>
        <w:rPr>
          <w:color w:val="000000"/>
          <w:lang w:val="uk-UA" w:eastAsia="en-US"/>
        </w:rPr>
        <w:t xml:space="preserve"> </w:t>
      </w:r>
      <w:r w:rsidRPr="00145205">
        <w:rPr>
          <w:color w:val="000000"/>
          <w:lang w:val="uk-UA" w:eastAsia="en-US"/>
        </w:rPr>
        <w:t xml:space="preserve">100 мг </w:t>
      </w:r>
      <w:r w:rsidRPr="005D5521">
        <w:rPr>
          <w:color w:val="000000"/>
          <w:lang w:val="uk-UA" w:eastAsia="en-US"/>
        </w:rPr>
        <w:t xml:space="preserve">препарату містять діючі речовини: </w:t>
      </w:r>
    </w:p>
    <w:p w:rsidR="00C104A8" w:rsidRPr="005D5521" w:rsidRDefault="00C104A8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5D5521">
        <w:rPr>
          <w:color w:val="000000"/>
          <w:lang w:val="uk-UA" w:eastAsia="en-US"/>
        </w:rPr>
        <w:t xml:space="preserve">         амоксицилін (як тригідрат) – 22,88 мг, </w:t>
      </w:r>
    </w:p>
    <w:p w:rsidR="00C104A8" w:rsidRPr="00145205" w:rsidRDefault="00C104A8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5D5521">
        <w:rPr>
          <w:color w:val="000000"/>
          <w:lang w:val="uk-UA" w:eastAsia="en-US"/>
        </w:rPr>
        <w:t xml:space="preserve">         кислоту клавуланову (</w:t>
      </w:r>
      <w:r w:rsidRPr="00145205">
        <w:rPr>
          <w:color w:val="000000"/>
          <w:lang w:val="uk-UA" w:eastAsia="en-US"/>
        </w:rPr>
        <w:t>як калію клавуланат) – 5,72 мг.</w:t>
      </w:r>
    </w:p>
    <w:p w:rsidR="00C104A8" w:rsidRDefault="00C104A8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 xml:space="preserve">         </w:t>
      </w:r>
      <w:r w:rsidRPr="00145205">
        <w:rPr>
          <w:color w:val="000000"/>
          <w:lang w:val="uk-UA" w:eastAsia="en-US"/>
        </w:rPr>
        <w:t>Допоміжні речовини: лактози моногідрат, целюлоза мікрокристалічна, кальцію стеарат, полівінілпіролідон, кремнію діоксид, еритрозин (Е 127).</w:t>
      </w:r>
    </w:p>
    <w:p w:rsidR="00C104A8" w:rsidRPr="003E4396" w:rsidRDefault="00C104A8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F4007F">
        <w:rPr>
          <w:lang w:val="uk-UA" w:eastAsia="en-US"/>
        </w:rPr>
        <w:t>АМЕКС</w:t>
      </w:r>
      <w:r w:rsidRPr="003E4396">
        <w:rPr>
          <w:lang w:val="uk-UA" w:eastAsia="en-US"/>
        </w:rPr>
        <w:t xml:space="preserve"> випускають у трьох дозуваннях:</w:t>
      </w:r>
    </w:p>
    <w:p w:rsidR="00C104A8" w:rsidRPr="003E4396" w:rsidRDefault="00C104A8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175</w:t>
      </w:r>
      <w:r w:rsidRPr="003E4396">
        <w:rPr>
          <w:lang w:val="uk-UA" w:eastAsia="en-US"/>
        </w:rPr>
        <w:t xml:space="preserve"> мг (містить </w:t>
      </w:r>
      <w:r w:rsidRPr="000037C4">
        <w:rPr>
          <w:lang w:val="uk-UA" w:eastAsia="en-US"/>
        </w:rPr>
        <w:t xml:space="preserve">амоксициліну (як </w:t>
      </w:r>
      <w:r>
        <w:rPr>
          <w:lang w:val="uk-UA" w:eastAsia="en-US"/>
        </w:rPr>
        <w:t xml:space="preserve">амоксициліну </w:t>
      </w:r>
      <w:r w:rsidRPr="000037C4">
        <w:rPr>
          <w:lang w:val="uk-UA" w:eastAsia="en-US"/>
        </w:rPr>
        <w:t xml:space="preserve">тригідрат) </w:t>
      </w:r>
      <w:r>
        <w:rPr>
          <w:lang w:val="uk-UA" w:eastAsia="en-US"/>
        </w:rPr>
        <w:t>– 40</w:t>
      </w:r>
      <w:r w:rsidRPr="000037C4">
        <w:rPr>
          <w:lang w:val="uk-UA" w:eastAsia="en-US"/>
        </w:rPr>
        <w:t xml:space="preserve"> мг </w:t>
      </w:r>
      <w:r>
        <w:rPr>
          <w:lang w:val="uk-UA" w:eastAsia="en-US"/>
        </w:rPr>
        <w:t xml:space="preserve">і </w:t>
      </w:r>
      <w:r w:rsidRPr="000037C4">
        <w:rPr>
          <w:lang w:val="uk-UA" w:eastAsia="en-US"/>
        </w:rPr>
        <w:t>кислоту клавуланову (як калію клавуланат)</w:t>
      </w:r>
      <w:r>
        <w:rPr>
          <w:lang w:val="uk-UA" w:eastAsia="en-US"/>
        </w:rPr>
        <w:t xml:space="preserve"> –</w:t>
      </w:r>
      <w:r w:rsidRPr="003E4396">
        <w:rPr>
          <w:lang w:val="uk-UA" w:eastAsia="en-US"/>
        </w:rPr>
        <w:t xml:space="preserve"> </w:t>
      </w:r>
      <w:r>
        <w:rPr>
          <w:lang w:val="uk-UA" w:eastAsia="en-US"/>
        </w:rPr>
        <w:t>10 мг</w:t>
      </w:r>
      <w:r w:rsidRPr="003E4396">
        <w:rPr>
          <w:lang w:val="uk-UA" w:eastAsia="en-US"/>
        </w:rPr>
        <w:t>);</w:t>
      </w:r>
    </w:p>
    <w:p w:rsidR="00C104A8" w:rsidRDefault="00C104A8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8</w:t>
      </w:r>
      <w:r w:rsidRPr="00EC28AA">
        <w:rPr>
          <w:lang w:val="uk-UA" w:eastAsia="en-US"/>
        </w:rPr>
        <w:t>75 мг (містить амоксициліну (як амоксицилін</w:t>
      </w:r>
      <w:r>
        <w:rPr>
          <w:lang w:val="uk-UA" w:eastAsia="en-US"/>
        </w:rPr>
        <w:t>у тригідрат) – 20</w:t>
      </w:r>
      <w:r w:rsidRPr="00EC28AA">
        <w:rPr>
          <w:lang w:val="uk-UA" w:eastAsia="en-US"/>
        </w:rPr>
        <w:t>0 мг і кислоту клаву</w:t>
      </w:r>
      <w:r>
        <w:rPr>
          <w:lang w:val="uk-UA" w:eastAsia="en-US"/>
        </w:rPr>
        <w:t>ланову (як калію клавуланат) – 5</w:t>
      </w:r>
      <w:r w:rsidRPr="00EC28AA">
        <w:rPr>
          <w:lang w:val="uk-UA" w:eastAsia="en-US"/>
        </w:rPr>
        <w:t>0 мг);</w:t>
      </w:r>
    </w:p>
    <w:p w:rsidR="00C104A8" w:rsidRPr="008E2EC4" w:rsidRDefault="00C104A8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EC28AA">
        <w:rPr>
          <w:lang w:val="uk-UA" w:eastAsia="en-US"/>
        </w:rPr>
        <w:t>таблетка масою 175</w:t>
      </w:r>
      <w:r>
        <w:rPr>
          <w:lang w:val="uk-UA" w:eastAsia="en-US"/>
        </w:rPr>
        <w:t>0</w:t>
      </w:r>
      <w:r w:rsidRPr="00EC28AA">
        <w:rPr>
          <w:lang w:val="uk-UA" w:eastAsia="en-US"/>
        </w:rPr>
        <w:t xml:space="preserve"> мг (містить амоксициліну (як амоксициліну тригідрат) – 4</w:t>
      </w:r>
      <w:r>
        <w:rPr>
          <w:lang w:val="uk-UA" w:eastAsia="en-US"/>
        </w:rPr>
        <w:t>0</w:t>
      </w:r>
      <w:r w:rsidRPr="00EC28AA">
        <w:rPr>
          <w:lang w:val="uk-UA" w:eastAsia="en-US"/>
        </w:rPr>
        <w:t>0 мг і кислоту клавуланову (як калію клавуланат) – 10</w:t>
      </w:r>
      <w:r>
        <w:rPr>
          <w:lang w:val="uk-UA" w:eastAsia="en-US"/>
        </w:rPr>
        <w:t>0 мг).</w:t>
      </w:r>
    </w:p>
    <w:p w:rsidR="00C104A8" w:rsidRPr="00145205" w:rsidRDefault="00C104A8" w:rsidP="00145205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3. Фармацевтична форма</w:t>
      </w:r>
    </w:p>
    <w:p w:rsidR="00C104A8" w:rsidRPr="00145205" w:rsidRDefault="00C104A8" w:rsidP="00145205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145205">
        <w:rPr>
          <w:snapToGrid w:val="0"/>
          <w:lang w:val="uk-UA" w:eastAsia="en-US"/>
        </w:rPr>
        <w:t>Таблетки.</w:t>
      </w:r>
    </w:p>
    <w:p w:rsidR="00C104A8" w:rsidRPr="00145205" w:rsidRDefault="00C104A8" w:rsidP="00145205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4. Фармакологічні властивості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b/>
          <w:i/>
          <w:w w:val="87"/>
          <w:sz w:val="24"/>
          <w:szCs w:val="24"/>
          <w:lang w:val="uk-UA"/>
        </w:rPr>
      </w:pP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>ATC vet класифікаційний код  QJ01</w:t>
      </w:r>
      <w:r w:rsidRPr="00F33EA4">
        <w:rPr>
          <w:rFonts w:ascii="Times New Roman" w:hAnsi="Times New Roman"/>
          <w:b/>
          <w:i/>
          <w:sz w:val="24"/>
          <w:szCs w:val="24"/>
        </w:rPr>
        <w:t>- антибактеріальні ветеринарні препарати для системного застосування</w:t>
      </w: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Pr="00F33EA4">
        <w:rPr>
          <w:rFonts w:ascii="Times New Roman" w:hAnsi="Times New Roman"/>
          <w:b/>
          <w:i/>
          <w:sz w:val="24"/>
          <w:szCs w:val="24"/>
          <w:lang w:val="en-US"/>
        </w:rPr>
        <w:t>QJ</w:t>
      </w: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>01</w:t>
      </w:r>
      <w:r w:rsidRPr="00F33EA4">
        <w:rPr>
          <w:rFonts w:ascii="Times New Roman" w:hAnsi="Times New Roman"/>
          <w:b/>
          <w:i/>
          <w:sz w:val="24"/>
          <w:szCs w:val="24"/>
          <w:lang w:val="en-US"/>
        </w:rPr>
        <w:t>CR</w:t>
      </w: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>02 – Амоксицилін та інгібітор ферменту.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napToGrid w:val="0"/>
          <w:color w:val="000000"/>
          <w:sz w:val="24"/>
          <w:szCs w:val="24"/>
          <w:lang w:val="uk-UA" w:eastAsia="uk-UA"/>
        </w:rPr>
        <w:t>Антибактеріальний препарат широкого спектру дії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. 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1D25B0">
        <w:rPr>
          <w:rFonts w:ascii="Times New Roman" w:hAnsi="Times New Roman"/>
          <w:snapToGrid w:val="0"/>
          <w:color w:val="000000"/>
          <w:sz w:val="24"/>
          <w:szCs w:val="24"/>
          <w:lang w:val="uk-UA" w:eastAsia="uk-UA"/>
        </w:rPr>
        <w:t>Амоксицилін</w:t>
      </w:r>
      <w:r w:rsidRPr="00C96935">
        <w:rPr>
          <w:rFonts w:ascii="Times New Roman" w:hAnsi="Times New Roman"/>
          <w:snapToGrid w:val="0"/>
          <w:color w:val="FF0000"/>
          <w:sz w:val="24"/>
          <w:szCs w:val="24"/>
          <w:lang w:val="uk-UA" w:eastAsia="uk-UA"/>
        </w:rPr>
        <w:t xml:space="preserve"> 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– напівсинтетичний пеніцилін, належить до </w:t>
      </w:r>
      <w:r w:rsidRPr="00F33EA4"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t>β</w:t>
      </w:r>
      <w:r w:rsidRPr="00F33EA4"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noBreakHyphen/>
      </w:r>
      <w:r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t>л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актамних антибіотиків. Механізм його дії полягає у порушенні синтезу клітинних стінок бактерій шляхом пригнічення функціональної активності ферментів транспептидази і карбоксипептидази. Результатом цього є порушення осмотичного балансу, що призводить до загибелі бактерії на етапі росту. 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Кислота клавуланова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 належить до групи інгібіторів </w:t>
      </w:r>
      <w:r w:rsidRPr="00F33EA4"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t>β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-лактамаз. Проникаючи в бактеріальну клітину, викликає інактивацію </w:t>
      </w:r>
      <w:r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цих 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ферментів, що забезпечує швидку бактерицидну активність амоксициліну проти чутливих до нього мікроорганізмів.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Комбінація амоксицилін/кислота клавуланова має широкий спектр бактерицидної дії проти грампозитивних (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Staphylococcus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Clostridium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Corynebacterium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Peptostreptococcus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Streptococcus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>.</w:t>
      </w:r>
      <w:r w:rsidRPr="00F33EA4">
        <w:rPr>
          <w:rFonts w:ascii="Times New Roman" w:hAnsi="Times New Roman"/>
          <w:sz w:val="24"/>
          <w:szCs w:val="24"/>
          <w:lang w:val="uk-UA"/>
        </w:rPr>
        <w:t>) та грамнегативних (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Escherichia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coli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Salmonella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Klebsiella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Pasteurella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>.</w:t>
      </w:r>
      <w:r w:rsidRPr="00F33EA4">
        <w:rPr>
          <w:rFonts w:ascii="Times New Roman" w:hAnsi="Times New Roman"/>
          <w:sz w:val="24"/>
          <w:szCs w:val="24"/>
          <w:lang w:val="uk-UA"/>
        </w:rPr>
        <w:t>) бактерій, включно з β-лактамазо-продукуючими штамами мікроорганізмів.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iCs/>
          <w:sz w:val="24"/>
          <w:szCs w:val="24"/>
          <w:lang w:val="uk-UA"/>
        </w:rPr>
        <w:t>Амоксицилін та клавуланова кислота залишаються</w:t>
      </w:r>
      <w:r w:rsidRPr="00F33EA4">
        <w:rPr>
          <w:rFonts w:ascii="Times New Roman" w:hAnsi="Times New Roman"/>
          <w:iCs/>
          <w:sz w:val="24"/>
          <w:szCs w:val="24"/>
        </w:rPr>
        <w:t xml:space="preserve"> </w:t>
      </w:r>
      <w:r w:rsidRPr="00F33EA4">
        <w:rPr>
          <w:rFonts w:ascii="Times New Roman" w:hAnsi="Times New Roman"/>
          <w:iCs/>
          <w:sz w:val="24"/>
          <w:szCs w:val="24"/>
          <w:lang w:val="uk-UA"/>
        </w:rPr>
        <w:t>стабільними в присутності шлункового соку</w:t>
      </w:r>
      <w:r w:rsidRPr="00F33EA4">
        <w:rPr>
          <w:rFonts w:ascii="Times New Roman" w:hAnsi="Times New Roman"/>
          <w:sz w:val="24"/>
          <w:szCs w:val="24"/>
          <w:lang w:val="uk-UA"/>
        </w:rPr>
        <w:t>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Амоксицилін добре всмоктується після перорального </w:t>
      </w:r>
      <w:r w:rsidRPr="001D25B0">
        <w:rPr>
          <w:rFonts w:ascii="Times New Roman" w:hAnsi="Times New Roman"/>
          <w:color w:val="000000"/>
          <w:sz w:val="24"/>
          <w:szCs w:val="24"/>
          <w:lang w:val="uk-UA"/>
        </w:rPr>
        <w:t>застосування.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 У собак б</w:t>
      </w:r>
      <w:r>
        <w:rPr>
          <w:rFonts w:ascii="Times New Roman" w:hAnsi="Times New Roman"/>
          <w:sz w:val="24"/>
          <w:szCs w:val="24"/>
          <w:lang w:val="uk-UA"/>
        </w:rPr>
        <w:t>іодоступність його становить 60-</w:t>
      </w:r>
      <w:r w:rsidRPr="00F33EA4">
        <w:rPr>
          <w:rFonts w:ascii="Times New Roman" w:hAnsi="Times New Roman"/>
          <w:sz w:val="24"/>
          <w:szCs w:val="24"/>
          <w:lang w:val="uk-UA"/>
        </w:rPr>
        <w:t>70%. Амоксицилін має невеликий об'єм розподілу та низький рівень зв'язування з білками плазми крові (34% у собак). Після всмоктування амоксициліну найвищі його концентрації виявляються в нирках (сечі) та жовчі, а потім у печінці, легенях, серці та селезінці. Розподіл амоксициліну в спинномозковій рідині є низьким, якщо тільки оболонки головного мозку не запалені.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Після перорального застосування собакам максимальна концентрація амоксициліну в плазмі </w:t>
      </w:r>
      <w:r>
        <w:rPr>
          <w:rFonts w:ascii="Times New Roman" w:hAnsi="Times New Roman"/>
          <w:sz w:val="24"/>
          <w:szCs w:val="24"/>
          <w:lang w:val="uk-UA"/>
        </w:rPr>
        <w:t xml:space="preserve">крові </w:t>
      </w:r>
      <w:r w:rsidRPr="00F33EA4">
        <w:rPr>
          <w:rFonts w:ascii="Times New Roman" w:hAnsi="Times New Roman"/>
          <w:sz w:val="24"/>
          <w:szCs w:val="24"/>
          <w:lang w:val="uk-UA"/>
        </w:rPr>
        <w:t>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становить 7,31 мкг/мл та досягається приблизно через 1,37 години. Середній період напіввиведення амоксициліну становив 1,21 години.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У котів середнє значення 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 амоксициліну становить 5,87 мкг/мл і досягається приблизно через 1,59 </w:t>
      </w:r>
      <w:r w:rsidRPr="001D25B0">
        <w:rPr>
          <w:rFonts w:ascii="Times New Roman" w:hAnsi="Times New Roman"/>
          <w:color w:val="000000"/>
          <w:sz w:val="24"/>
          <w:szCs w:val="24"/>
          <w:lang w:val="uk-UA"/>
        </w:rPr>
        <w:t>години після перорального застосування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, середній період напіввиведення амоксициліну становив 1,18 години. </w:t>
      </w:r>
    </w:p>
    <w:p w:rsidR="00C104A8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Кислота клавуланова добре всмоктується після перорального застосування. Зв’язування з білками плазми крові становить приблизно 25%, а період напіввиведення короткий. Після перорального застосування препарату собакам середнє значення 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кислоти клавуланової (1,33 </w:t>
      </w: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>Продовження д</w:t>
      </w:r>
      <w:r w:rsidRPr="00735B88">
        <w:rPr>
          <w:lang w:val="uk-UA"/>
        </w:rPr>
        <w:t>одатк</w:t>
      </w:r>
      <w:r>
        <w:rPr>
          <w:lang w:val="uk-UA"/>
        </w:rPr>
        <w:t>у</w:t>
      </w:r>
      <w:r w:rsidRPr="00735B88">
        <w:rPr>
          <w:lang w:val="uk-UA"/>
        </w:rPr>
        <w:t xml:space="preserve"> 1</w:t>
      </w: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C104A8" w:rsidRPr="00735B88" w:rsidRDefault="00C104A8" w:rsidP="00735B88">
      <w:pPr>
        <w:jc w:val="right"/>
        <w:rPr>
          <w:lang w:val="uk-UA"/>
        </w:rPr>
      </w:pPr>
    </w:p>
    <w:p w:rsidR="00C104A8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04A8" w:rsidRPr="00F33EA4" w:rsidRDefault="00C104A8" w:rsidP="00A364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мкг/мл) досягається приблизно через 1,02 години. Середній період напіввиведення кислоти клавуланової становить 0,83 години.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У котів середнє значення 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кислоти клавуланової (3,16 мкг/мл) була досягається  приблизно через 0,70 години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25B0">
        <w:rPr>
          <w:rFonts w:ascii="Times New Roman" w:hAnsi="Times New Roman"/>
          <w:color w:val="000000"/>
          <w:sz w:val="24"/>
          <w:szCs w:val="24"/>
          <w:lang w:val="uk-UA"/>
        </w:rPr>
        <w:t>після перорального застосування</w:t>
      </w:r>
      <w:r w:rsidRPr="00F33EA4">
        <w:rPr>
          <w:rFonts w:ascii="Times New Roman" w:hAnsi="Times New Roman"/>
          <w:sz w:val="24"/>
          <w:szCs w:val="24"/>
          <w:lang w:val="uk-UA"/>
        </w:rPr>
        <w:t>. Середній період напіввиведення кислоти клавуланової становить 0,81 години.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Кислота клавуланова, в основному, виводиться у незміненому вигляді з сечею.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 Клінічні особливості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5.1 Вид тварин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145205">
        <w:rPr>
          <w:snapToGrid w:val="0"/>
          <w:lang w:val="uk-UA" w:eastAsia="en-US"/>
        </w:rPr>
        <w:t>Собаки, коти.</w:t>
      </w:r>
    </w:p>
    <w:p w:rsidR="00C104A8" w:rsidRPr="00145205" w:rsidRDefault="00C104A8" w:rsidP="00145205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145205">
        <w:rPr>
          <w:b/>
          <w:snapToGrid w:val="0"/>
          <w:lang w:val="x-none" w:eastAsia="ru-RU"/>
        </w:rPr>
        <w:t>5.2 Показання до застосування</w:t>
      </w:r>
    </w:p>
    <w:p w:rsidR="00C104A8" w:rsidRPr="00F33EA4" w:rsidRDefault="00C104A8" w:rsidP="00145205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F33EA4">
        <w:rPr>
          <w:lang w:val="uk-UA"/>
        </w:rPr>
        <w:t>Лікування собак та котів за захворювань органів дихання, ротової порожнини (наприклад, гінгівіт), сечовивідних ш</w:t>
      </w:r>
      <w:r>
        <w:rPr>
          <w:lang w:val="uk-UA"/>
        </w:rPr>
        <w:t>ляхів, травного каналу (ентерит</w:t>
      </w:r>
      <w:r w:rsidRPr="00F33EA4">
        <w:rPr>
          <w:lang w:val="uk-UA"/>
        </w:rPr>
        <w:t>), шкіри (включно з лікуванням глибокої та поверхневої піодермії), м’яких тканин (абсцеси та анальний сакуліт), що спричинені мікроорганізмами</w:t>
      </w:r>
      <w:r w:rsidRPr="00F33EA4">
        <w:rPr>
          <w:i/>
          <w:lang w:val="uk-UA"/>
        </w:rPr>
        <w:t>,</w:t>
      </w:r>
      <w:r w:rsidRPr="00F33EA4">
        <w:rPr>
          <w:i/>
          <w:lang w:val="uk-UA" w:eastAsia="uk-UA"/>
        </w:rPr>
        <w:t xml:space="preserve"> </w:t>
      </w:r>
      <w:r w:rsidRPr="00F33EA4">
        <w:rPr>
          <w:lang w:val="uk-UA"/>
        </w:rPr>
        <w:t>чутливими до амоксициліну та клавуланової кистоти.</w:t>
      </w:r>
    </w:p>
    <w:p w:rsidR="00C104A8" w:rsidRPr="00145205" w:rsidRDefault="00C104A8" w:rsidP="00145205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145205">
        <w:rPr>
          <w:b/>
          <w:snapToGrid w:val="0"/>
          <w:lang w:val="uk-UA" w:eastAsia="uk-UA"/>
        </w:rPr>
        <w:t>5.3 Протипоказання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Підвищена чутливість до пеніцилінів та інших β-лактамів, до будь-яких допоміжних речовин.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Препарат не застосовувати коням, кролям, мурчакам, хом’якам, шиншилам та дрібним травоїдним тваринам.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Не застосовувати тваринам з серйозним порушенням функції нирок, що супроводжується анурією та олігурією.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Не застосовувати у разі відомої стійкості мікроорганізмів до комбінації амоксицилін/клавуланова кислота!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Не застосовувати одночасно з хлорамфеніколом, антибіотиками групи цефалоспоринів, тетрациклінів, макролідів.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5.4 Побічна дія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Протягом лікування може спостерігатися блювання та діарея. Лікування може бути припинено залежно від тяжкості небажаних ефектів та оцінки ризиків лікарем ветеринарної медицини.</w:t>
      </w:r>
    </w:p>
    <w:p w:rsidR="00C104A8" w:rsidRPr="00F33EA4" w:rsidRDefault="00C104A8" w:rsidP="00F33EA4">
      <w:pPr>
        <w:pStyle w:val="NoSpacing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en-US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Можуть спостерігатися реакції гіперчутливості (алергічні реакції шкіри, анафілаксія). У таких випадках застосування повинно бути припинено та вжите симптоматичне лікування.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C104A8" w:rsidRDefault="00C104A8" w:rsidP="00F33EA4">
      <w:pPr>
        <w:ind w:firstLine="567"/>
        <w:jc w:val="both"/>
        <w:rPr>
          <w:lang w:val="uk-UA" w:eastAsia="uk-UA"/>
        </w:rPr>
      </w:pPr>
      <w:r w:rsidRPr="00F33EA4">
        <w:rPr>
          <w:lang w:val="uk-UA" w:eastAsia="uk-UA"/>
        </w:rPr>
        <w:t xml:space="preserve">Перед застосуванням препарату рекомендовано зробити тест на чутливість мікроорганізму-збудника захворювання до </w:t>
      </w:r>
      <w:r w:rsidRPr="00F33EA4">
        <w:rPr>
          <w:lang w:val="uk-UA"/>
        </w:rPr>
        <w:t>комбінації амоксицилін/клавуланова кислота</w:t>
      </w:r>
      <w:r w:rsidRPr="00F33EA4">
        <w:rPr>
          <w:lang w:val="uk-UA" w:eastAsia="uk-UA"/>
        </w:rPr>
        <w:t xml:space="preserve">. </w:t>
      </w:r>
      <w:r>
        <w:rPr>
          <w:lang w:val="uk-UA"/>
        </w:rPr>
        <w:t xml:space="preserve">Застосування препарату з порушенням рекомендацій, зазначених у КХП та </w:t>
      </w:r>
      <w:r w:rsidRPr="001D25B0">
        <w:rPr>
          <w:color w:val="000000"/>
          <w:lang w:val="uk-UA"/>
        </w:rPr>
        <w:t>листівці-вкладці</w:t>
      </w:r>
      <w:r>
        <w:rPr>
          <w:lang w:val="uk-UA"/>
        </w:rPr>
        <w:t>, може збільшити поширеність бактерій, стійких до амоксициліну/клавуланової кислоти, та може знизити ефективність лікування іншими бета-лактамними антибіотиками через можливу перехресну резистентність.</w:t>
      </w:r>
    </w:p>
    <w:p w:rsidR="00C104A8" w:rsidRPr="00F33EA4" w:rsidRDefault="00C104A8" w:rsidP="00F33EA4">
      <w:pPr>
        <w:ind w:firstLine="567"/>
        <w:jc w:val="both"/>
        <w:rPr>
          <w:lang w:val="uk-UA" w:eastAsia="uk-UA"/>
        </w:rPr>
      </w:pPr>
      <w:r w:rsidRPr="00F33EA4">
        <w:rPr>
          <w:lang w:val="uk-UA" w:eastAsia="uk-UA"/>
        </w:rPr>
        <w:t xml:space="preserve">У разі ниркової або печінкової недостатності застосування препарату повинно здійснюватися за умови оцінки користі/ризику, встановленої лікарем ветеринарної медицини, і дозу слід коригувати з обережністю. </w:t>
      </w:r>
    </w:p>
    <w:p w:rsidR="00C104A8" w:rsidRPr="00F33EA4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F33EA4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C104A8" w:rsidRPr="00F33EA4" w:rsidRDefault="00C104A8" w:rsidP="00F33EA4">
      <w:pPr>
        <w:ind w:firstLine="567"/>
      </w:pPr>
      <w:r w:rsidRPr="00F33EA4">
        <w:rPr>
          <w:lang w:val="uk-UA"/>
        </w:rPr>
        <w:t>Безпека препарату не оцінювалась у вагітних та лактуючих самок.</w:t>
      </w:r>
    </w:p>
    <w:p w:rsidR="00C104A8" w:rsidRPr="001D25B0" w:rsidRDefault="00C104A8" w:rsidP="00C96935">
      <w:pPr>
        <w:ind w:firstLine="567"/>
        <w:jc w:val="both"/>
        <w:rPr>
          <w:color w:val="000000"/>
          <w:lang w:val="uk-UA" w:eastAsia="uk-UA"/>
        </w:rPr>
      </w:pPr>
      <w:r w:rsidRPr="00F33EA4">
        <w:rPr>
          <w:bCs/>
          <w:lang w:val="uk-UA"/>
        </w:rPr>
        <w:t>Застосовувати препарат тваринам у період вагітності та лактації</w:t>
      </w:r>
      <w:r w:rsidRPr="00F33EA4">
        <w:rPr>
          <w:lang w:val="uk-UA"/>
        </w:rPr>
        <w:t xml:space="preserve">, рекомендують тільки тоді, </w:t>
      </w:r>
      <w:r w:rsidRPr="00F33EA4">
        <w:t>коли користь від препарату</w:t>
      </w:r>
      <w:r w:rsidRPr="002A15FD">
        <w:t xml:space="preserve"> </w:t>
      </w:r>
      <w:r w:rsidRPr="00F33EA4">
        <w:t>переважає можливі ризики</w:t>
      </w:r>
      <w:r w:rsidRPr="00F33EA4">
        <w:rPr>
          <w:lang w:val="uk-UA"/>
        </w:rPr>
        <w:t>, за рішенням лікаря ветеринарної медицини.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F33EA4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C104A8" w:rsidRPr="00145205" w:rsidRDefault="00C104A8" w:rsidP="00145205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F33EA4">
        <w:rPr>
          <w:lang w:val="uk-UA"/>
        </w:rPr>
        <w:t>Не застосовувати одночасно з хлорамфеніколом, антибіотиками групи цефалоспоринів, тетрациклінів, макролідів.</w:t>
      </w:r>
    </w:p>
    <w:p w:rsidR="00C104A8" w:rsidRPr="00145205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C104A8" w:rsidRPr="00452BA6" w:rsidRDefault="00C104A8" w:rsidP="004E69F2">
      <w:pPr>
        <w:ind w:firstLine="567"/>
        <w:jc w:val="both"/>
        <w:rPr>
          <w:lang w:val="uk-UA"/>
        </w:rPr>
      </w:pPr>
      <w:r w:rsidRPr="00452BA6">
        <w:rPr>
          <w:lang w:val="uk-UA"/>
        </w:rPr>
        <w:t xml:space="preserve">Препарат застосовують тваринам індивідуально перорально з кормом або примусово на корінь язика у дозі: 12,5 мг комбінованих діючих речовин (що еквівалентно 10 мг амоксициліну та 2,5 мг клавуланової кислоти) на 1 кг маси тіла, двічі на добу. </w:t>
      </w:r>
    </w:p>
    <w:p w:rsidR="00C104A8" w:rsidRDefault="00C104A8" w:rsidP="00735B88">
      <w:pPr>
        <w:jc w:val="right"/>
        <w:rPr>
          <w:lang w:val="uk-UA"/>
        </w:rPr>
      </w:pPr>
    </w:p>
    <w:p w:rsidR="00C104A8" w:rsidRDefault="00C104A8" w:rsidP="00735B88">
      <w:pPr>
        <w:jc w:val="right"/>
        <w:rPr>
          <w:lang w:val="uk-UA"/>
        </w:rPr>
      </w:pP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>Продовження д</w:t>
      </w:r>
      <w:r w:rsidRPr="00735B88">
        <w:rPr>
          <w:lang w:val="uk-UA"/>
        </w:rPr>
        <w:t>одатк</w:t>
      </w:r>
      <w:r>
        <w:rPr>
          <w:lang w:val="uk-UA"/>
        </w:rPr>
        <w:t>у</w:t>
      </w:r>
      <w:r w:rsidRPr="00735B88">
        <w:rPr>
          <w:lang w:val="uk-UA"/>
        </w:rPr>
        <w:t xml:space="preserve"> 1</w:t>
      </w: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C104A8" w:rsidRPr="00735B88" w:rsidRDefault="00C104A8" w:rsidP="00735B88">
      <w:pPr>
        <w:jc w:val="right"/>
        <w:rPr>
          <w:lang w:val="uk-UA"/>
        </w:rPr>
      </w:pPr>
    </w:p>
    <w:p w:rsidR="00C104A8" w:rsidRDefault="00C104A8" w:rsidP="00735B88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AA3C47">
        <w:rPr>
          <w:color w:val="000000"/>
          <w:lang w:val="uk-UA" w:eastAsia="en-US"/>
        </w:rPr>
        <w:t>Залежно від маси тіла тварини фактичне дозування складає:</w:t>
      </w:r>
    </w:p>
    <w:tbl>
      <w:tblPr>
        <w:tblW w:w="0" w:type="auto"/>
        <w:tblInd w:w="5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2252"/>
        <w:gridCol w:w="2284"/>
        <w:gridCol w:w="2252"/>
      </w:tblGrid>
      <w:tr w:rsidR="00C104A8" w:rsidRPr="00452BA6" w:rsidTr="00F4007F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bCs/>
                <w:color w:val="000000"/>
                <w:lang w:val="uk-UA" w:eastAsia="uk-UA"/>
              </w:rPr>
              <w:t xml:space="preserve">Маса тіла тварини, кг </w:t>
            </w:r>
          </w:p>
        </w:tc>
        <w:tc>
          <w:tcPr>
            <w:tcW w:w="6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C104A8" w:rsidRPr="00452BA6" w:rsidTr="00F4007F"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F4007F">
              <w:rPr>
                <w:bCs/>
                <w:color w:val="000000"/>
                <w:lang w:val="uk-UA" w:eastAsia="uk-UA"/>
              </w:rPr>
              <w:t>АМЕКС</w:t>
            </w:r>
          </w:p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50 мг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F4007F">
              <w:rPr>
                <w:bCs/>
                <w:color w:val="000000"/>
                <w:lang w:val="uk-UA" w:eastAsia="uk-UA"/>
              </w:rPr>
              <w:t>АМЕКС</w:t>
            </w:r>
          </w:p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250 мг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F4007F">
              <w:rPr>
                <w:bCs/>
                <w:color w:val="000000"/>
                <w:lang w:val="uk-UA" w:eastAsia="uk-UA"/>
              </w:rPr>
              <w:t>АМЕКС</w:t>
            </w:r>
          </w:p>
          <w:p w:rsidR="00C104A8" w:rsidRPr="00452BA6" w:rsidRDefault="00C104A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500 мг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2</w:t>
            </w:r>
            <w:r w:rsidRPr="00452BA6">
              <w:rPr>
                <w:color w:val="000000"/>
                <w:lang w:val="uk-UA" w:eastAsia="uk-UA"/>
              </w:rPr>
              <w:t xml:space="preserve"> – 4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 таблетка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4</w:t>
            </w:r>
            <w:r w:rsidRPr="00452BA6">
              <w:rPr>
                <w:color w:val="000000"/>
                <w:lang w:val="uk-UA" w:eastAsia="uk-UA"/>
              </w:rPr>
              <w:t xml:space="preserve"> – 6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1,5 таблетки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6</w:t>
            </w:r>
            <w:r w:rsidRPr="00452BA6">
              <w:rPr>
                <w:color w:val="000000"/>
                <w:lang w:val="uk-UA" w:eastAsia="uk-UA"/>
              </w:rPr>
              <w:t xml:space="preserve"> – 8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2 таблетки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8</w:t>
            </w:r>
            <w:r w:rsidRPr="00452BA6">
              <w:rPr>
                <w:color w:val="000000"/>
                <w:lang w:val="uk-UA" w:eastAsia="uk-UA"/>
              </w:rPr>
              <w:t xml:space="preserve"> – 10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0,5 таблетки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10 – 20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1 таблетка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20 – 30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1,5 таблетки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30 – 40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F4007F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 таблетка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40 – 60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1,5 таблетки</w:t>
            </w:r>
          </w:p>
        </w:tc>
      </w:tr>
      <w:tr w:rsidR="00C104A8" w:rsidRPr="00452BA6" w:rsidTr="00F4007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60 – 80 кг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4A8" w:rsidRPr="00452BA6" w:rsidRDefault="00C104A8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4A8" w:rsidRPr="00452BA6" w:rsidRDefault="00C104A8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2 таблетки</w:t>
            </w:r>
          </w:p>
        </w:tc>
      </w:tr>
    </w:tbl>
    <w:p w:rsidR="00C104A8" w:rsidRPr="00452BA6" w:rsidRDefault="00C104A8" w:rsidP="004E69F2">
      <w:pPr>
        <w:ind w:firstLine="567"/>
        <w:jc w:val="both"/>
        <w:rPr>
          <w:lang w:val="uk-UA" w:eastAsia="en-US"/>
        </w:rPr>
      </w:pPr>
      <w:r w:rsidRPr="00452BA6">
        <w:rPr>
          <w:lang w:val="uk-UA" w:eastAsia="uk-UA"/>
        </w:rPr>
        <w:t xml:space="preserve">У разі тяжкого перебігу захворювань органів дихання дозу препарату можна збільшити до 25 мг </w:t>
      </w:r>
      <w:r w:rsidRPr="00452BA6">
        <w:rPr>
          <w:lang w:val="uk-UA"/>
        </w:rPr>
        <w:t xml:space="preserve">комбінованих діючих речовин </w:t>
      </w:r>
      <w:r w:rsidRPr="00452BA6">
        <w:rPr>
          <w:lang w:val="uk-UA" w:eastAsia="uk-UA"/>
        </w:rPr>
        <w:t>на 1 кг маси тіла, двічі на добу.</w:t>
      </w:r>
      <w:r w:rsidRPr="00452BA6">
        <w:rPr>
          <w:lang w:val="uk-UA" w:eastAsia="en-US"/>
        </w:rPr>
        <w:t xml:space="preserve"> 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Дотримання дієти або особливого режиму годівлі не вимагається.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 xml:space="preserve">Тривалість застосування препарату – 5-7 діб. 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За хронічних та тяжких випадків лікування, за рішенням та під постійним наглядом лікаря ветеринарної медицини, продовжують до: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хронічні хвороби шкіри – 10-12 діб,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хронічні цистити – 10-28 діб,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uk-UA"/>
        </w:rPr>
      </w:pPr>
      <w:r w:rsidRPr="00452BA6">
        <w:rPr>
          <w:color w:val="000000"/>
          <w:lang w:val="uk-UA" w:eastAsia="en-US"/>
        </w:rPr>
        <w:t>хвороби органів дихання – 8-10 діб.</w:t>
      </w:r>
    </w:p>
    <w:p w:rsidR="00C104A8" w:rsidRPr="00452BA6" w:rsidRDefault="00C104A8" w:rsidP="00145205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C104A8" w:rsidRPr="00452BA6" w:rsidRDefault="00C104A8" w:rsidP="00145205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452BA6">
        <w:rPr>
          <w:snapToGrid w:val="0"/>
          <w:color w:val="000000"/>
          <w:lang w:val="uk-UA" w:eastAsia="en-US"/>
        </w:rPr>
        <w:t>При передозуванні препарату спостерігають помірно виражені розлади травного каналу (діарея, нудота та блювання). За необхідності слід розпочати симптоматичне лікування.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eastAsia="en-US"/>
        </w:rPr>
        <w:t>5.</w:t>
      </w:r>
      <w:r w:rsidRPr="00452BA6">
        <w:rPr>
          <w:b/>
          <w:snapToGrid w:val="0"/>
          <w:lang w:val="uk-UA" w:eastAsia="en-US"/>
        </w:rPr>
        <w:t>10</w:t>
      </w:r>
      <w:r w:rsidRPr="00452BA6">
        <w:rPr>
          <w:b/>
          <w:snapToGrid w:val="0"/>
          <w:lang w:eastAsia="en-US"/>
        </w:rPr>
        <w:t xml:space="preserve"> Спеціальні застереження</w:t>
      </w:r>
    </w:p>
    <w:p w:rsidR="00C104A8" w:rsidRPr="00452BA6" w:rsidRDefault="00C104A8" w:rsidP="00145205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452BA6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5.11 Період виведення (каренція)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452BA6">
        <w:rPr>
          <w:snapToGrid w:val="0"/>
          <w:lang w:val="uk-UA" w:eastAsia="en-US"/>
        </w:rPr>
        <w:t>Для непродуктивних тварин не визначають.</w:t>
      </w:r>
    </w:p>
    <w:p w:rsidR="00C104A8" w:rsidRPr="00452BA6" w:rsidRDefault="00C104A8" w:rsidP="00145205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452BA6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C104A8" w:rsidRPr="00452BA6" w:rsidRDefault="00C104A8" w:rsidP="00145205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452BA6">
        <w:rPr>
          <w:lang w:val="uk-UA" w:eastAsia="en-US"/>
        </w:rPr>
        <w:t>Антибіотики пеніцилінового та цефалоспоринового ряду можуть викликати алергічну реакцію в результаті їх вдихання, проковтування або потрапляння на шкіру. Підвищена чутливість до пеніцилінів може призвести до перехресної реакції із цефалоспоринами та навпаки. Сильні алергічні реакції спостерігають епізодично. Не допускати до роботи з препаратом людей з підвищеною чутливістю до антибіотиків пеніцилінового та цефалоспоринового ряду.</w:t>
      </w:r>
    </w:p>
    <w:p w:rsidR="00C104A8" w:rsidRPr="00452BA6" w:rsidRDefault="00C104A8" w:rsidP="00145205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452BA6">
        <w:rPr>
          <w:lang w:val="uk-UA" w:eastAsia="en-US"/>
        </w:rPr>
        <w:t>У випадку виникнення таких симптомів як висипання на шкірі, свербіж чи набряк обличчя, очей, губ, важке дихання, необхідно терміново звернутися за медичною допомогою.</w:t>
      </w:r>
    </w:p>
    <w:p w:rsidR="00C104A8" w:rsidRPr="00452BA6" w:rsidRDefault="00C104A8" w:rsidP="00145205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452BA6">
        <w:rPr>
          <w:lang w:val="uk-UA" w:eastAsia="en-US"/>
        </w:rPr>
        <w:t>Після користування препаратом ретельно вимити руки з милом.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 Фармацевтичні особливості</w:t>
      </w:r>
    </w:p>
    <w:p w:rsidR="00C104A8" w:rsidRPr="00452BA6" w:rsidRDefault="00C104A8" w:rsidP="00145205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452BA6">
        <w:rPr>
          <w:b/>
          <w:snapToGrid w:val="0"/>
          <w:lang w:val="x-none" w:eastAsia="ru-RU"/>
        </w:rPr>
        <w:t>6.1 Форми несумісності (основні)</w:t>
      </w:r>
    </w:p>
    <w:p w:rsidR="00C104A8" w:rsidRPr="00452BA6" w:rsidRDefault="00C104A8" w:rsidP="00145205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uk-UA" w:eastAsia="ru-RU"/>
        </w:rPr>
      </w:pPr>
      <w:r w:rsidRPr="00452BA6">
        <w:rPr>
          <w:snapToGrid w:val="0"/>
          <w:color w:val="000000"/>
          <w:lang w:val="x-none" w:eastAsia="ru-RU"/>
        </w:rPr>
        <w:t xml:space="preserve">Не </w:t>
      </w:r>
      <w:r w:rsidRPr="00452BA6">
        <w:rPr>
          <w:snapToGrid w:val="0"/>
          <w:color w:val="000000"/>
          <w:lang w:val="uk-UA" w:eastAsia="ru-RU"/>
        </w:rPr>
        <w:t>встановлені</w:t>
      </w:r>
      <w:r w:rsidRPr="00452BA6">
        <w:rPr>
          <w:snapToGrid w:val="0"/>
          <w:color w:val="000000"/>
          <w:lang w:val="x-none" w:eastAsia="ru-RU"/>
        </w:rPr>
        <w:t>.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6.2 Термін придатності</w:t>
      </w:r>
    </w:p>
    <w:p w:rsidR="00C104A8" w:rsidRDefault="00C104A8" w:rsidP="00145205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452BA6">
        <w:rPr>
          <w:snapToGrid w:val="0"/>
          <w:color w:val="000000"/>
          <w:lang w:val="uk-UA" w:eastAsia="en-US"/>
        </w:rPr>
        <w:t>3 роки.</w:t>
      </w:r>
    </w:p>
    <w:p w:rsidR="00C104A8" w:rsidRPr="00B727F5" w:rsidRDefault="00C104A8" w:rsidP="00B727F5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B727F5">
        <w:rPr>
          <w:snapToGrid w:val="0"/>
          <w:lang w:val="uk-UA" w:eastAsia="en-US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24 годин</w:t>
      </w:r>
      <w:r>
        <w:rPr>
          <w:snapToGrid w:val="0"/>
          <w:lang w:val="uk-UA" w:eastAsia="en-US"/>
        </w:rPr>
        <w:t>.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6.3 Особливі заходи зберігання</w:t>
      </w:r>
    </w:p>
    <w:p w:rsidR="00C104A8" w:rsidRPr="00452BA6" w:rsidRDefault="00C104A8" w:rsidP="00145205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2252BC">
        <w:rPr>
          <w:color w:val="000000"/>
          <w:lang w:val="uk-UA" w:eastAsia="en-US"/>
        </w:rPr>
        <w:t>Зберігати в оригінальній упаковці у сухому, захищеному від прямих сонячних променів, недоступному для дітей і тварин місці за температури не вищої, ніж 25 °С</w:t>
      </w:r>
      <w:r w:rsidRPr="00452BA6">
        <w:rPr>
          <w:color w:val="000000"/>
          <w:lang w:val="uk-UA" w:eastAsia="en-US"/>
        </w:rPr>
        <w:t>.</w:t>
      </w:r>
    </w:p>
    <w:p w:rsidR="00C104A8" w:rsidRPr="00452BA6" w:rsidRDefault="00C104A8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C104A8" w:rsidRPr="00452BA6" w:rsidRDefault="00C104A8" w:rsidP="00145205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>Продовження д</w:t>
      </w:r>
      <w:r w:rsidRPr="00735B88">
        <w:rPr>
          <w:lang w:val="uk-UA"/>
        </w:rPr>
        <w:t>одатк</w:t>
      </w:r>
      <w:r>
        <w:rPr>
          <w:lang w:val="uk-UA"/>
        </w:rPr>
        <w:t>у</w:t>
      </w:r>
      <w:r w:rsidRPr="00735B88">
        <w:rPr>
          <w:lang w:val="uk-UA"/>
        </w:rPr>
        <w:t xml:space="preserve"> 1</w:t>
      </w:r>
    </w:p>
    <w:p w:rsidR="00C104A8" w:rsidRDefault="00C104A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C104A8" w:rsidRDefault="00C104A8" w:rsidP="00735B88">
      <w:pPr>
        <w:jc w:val="right"/>
        <w:rPr>
          <w:lang w:val="uk-UA"/>
        </w:rPr>
      </w:pPr>
    </w:p>
    <w:p w:rsidR="00C104A8" w:rsidRPr="00B727F5" w:rsidRDefault="00C104A8" w:rsidP="00B727F5">
      <w:pPr>
        <w:suppressAutoHyphens w:val="0"/>
        <w:ind w:firstLine="567"/>
        <w:jc w:val="both"/>
        <w:rPr>
          <w:snapToGrid w:val="0"/>
          <w:color w:val="000000"/>
          <w:lang w:val="uk-UA" w:eastAsia="en-US"/>
        </w:rPr>
      </w:pPr>
      <w:r>
        <w:rPr>
          <w:lang w:val="uk-UA"/>
        </w:rPr>
        <w:tab/>
      </w:r>
      <w:r w:rsidRPr="002252BC">
        <w:rPr>
          <w:snapToGrid w:val="0"/>
          <w:color w:val="000000"/>
          <w:lang w:val="uk-UA" w:eastAsia="en-US"/>
        </w:rPr>
        <w:t>Блістери по 10 таблеток, упаковані в картонні коробки. Коробка з 1 бліст</w:t>
      </w:r>
      <w:r>
        <w:rPr>
          <w:snapToGrid w:val="0"/>
          <w:color w:val="000000"/>
          <w:lang w:val="uk-UA" w:eastAsia="en-US"/>
        </w:rPr>
        <w:t>ером по 10 таблеток. Коробка з 10</w:t>
      </w:r>
      <w:r w:rsidRPr="002252BC">
        <w:rPr>
          <w:snapToGrid w:val="0"/>
          <w:color w:val="000000"/>
          <w:lang w:val="uk-UA" w:eastAsia="en-US"/>
        </w:rPr>
        <w:t xml:space="preserve"> блістерами по 10 </w:t>
      </w:r>
      <w:r>
        <w:rPr>
          <w:snapToGrid w:val="0"/>
          <w:color w:val="000000"/>
          <w:lang w:val="uk-UA" w:eastAsia="en-US"/>
        </w:rPr>
        <w:t>таблеток. Полімерні флакони по 2</w:t>
      </w:r>
      <w:r w:rsidRPr="002252BC">
        <w:rPr>
          <w:snapToGrid w:val="0"/>
          <w:color w:val="000000"/>
          <w:lang w:val="uk-UA" w:eastAsia="en-US"/>
        </w:rPr>
        <w:t>0 таблеток у картонних коробках</w:t>
      </w:r>
      <w:r w:rsidRPr="001A1135">
        <w:rPr>
          <w:snapToGrid w:val="0"/>
          <w:color w:val="000000"/>
          <w:lang w:val="uk-UA" w:eastAsia="en-US"/>
        </w:rPr>
        <w:t>.</w:t>
      </w:r>
    </w:p>
    <w:p w:rsidR="00C104A8" w:rsidRPr="00452BA6" w:rsidRDefault="00C104A8" w:rsidP="00145205">
      <w:pPr>
        <w:widowControl w:val="0"/>
        <w:suppressAutoHyphens w:val="0"/>
        <w:snapToGrid w:val="0"/>
        <w:ind w:right="-36" w:firstLine="567"/>
        <w:jc w:val="both"/>
        <w:rPr>
          <w:b/>
          <w:lang w:val="x-none" w:eastAsia="ru-RU"/>
        </w:rPr>
      </w:pPr>
      <w:r w:rsidRPr="00452BA6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C104A8" w:rsidRPr="00452BA6" w:rsidRDefault="00C104A8" w:rsidP="0014520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snapToGrid w:val="0"/>
          <w:color w:val="000000"/>
          <w:lang w:eastAsia="ru-RU"/>
        </w:rPr>
      </w:pPr>
      <w:r w:rsidRPr="00452BA6">
        <w:rPr>
          <w:snapToGrid w:val="0"/>
          <w:color w:val="000000"/>
          <w:lang w:val="x-none" w:eastAsia="ru-RU"/>
        </w:rPr>
        <w:t>Невикористаний або протермінований препарат утилізують відповідно до чинного законодавства.</w:t>
      </w:r>
    </w:p>
    <w:p w:rsidR="00C104A8" w:rsidRPr="002252BC" w:rsidRDefault="00C104A8" w:rsidP="002252BC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2252BC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C104A8" w:rsidRPr="002252BC" w:rsidTr="002A15FD">
        <w:tc>
          <w:tcPr>
            <w:tcW w:w="9322" w:type="dxa"/>
          </w:tcPr>
          <w:p w:rsidR="00C104A8" w:rsidRPr="002252BC" w:rsidRDefault="00C104A8" w:rsidP="002252BC">
            <w:pPr>
              <w:suppressAutoHyphens w:val="0"/>
              <w:rPr>
                <w:lang w:eastAsia="en-US"/>
              </w:rPr>
            </w:pPr>
            <w:r w:rsidRPr="002252BC">
              <w:rPr>
                <w:lang w:val="uk-UA" w:eastAsia="en-US"/>
              </w:rPr>
              <w:t xml:space="preserve">        </w:t>
            </w:r>
            <w:r w:rsidRPr="002252BC">
              <w:rPr>
                <w:lang w:eastAsia="en-US"/>
              </w:rPr>
              <w:t>ТОВ "МЕДІВЕТ ЕКО", УКРАЇНА</w:t>
            </w:r>
          </w:p>
          <w:p w:rsidR="00C104A8" w:rsidRPr="002252BC" w:rsidRDefault="00C104A8" w:rsidP="002252BC">
            <w:pPr>
              <w:suppressAutoHyphens w:val="0"/>
              <w:rPr>
                <w:lang w:val="uk-UA" w:eastAsia="en-US"/>
              </w:rPr>
            </w:pPr>
            <w:r w:rsidRPr="002252BC">
              <w:rPr>
                <w:lang w:val="uk-UA" w:eastAsia="en-US"/>
              </w:rPr>
              <w:t xml:space="preserve">         </w:t>
            </w:r>
            <w:r w:rsidRPr="002252BC">
              <w:rPr>
                <w:lang w:eastAsia="en-US"/>
              </w:rPr>
              <w:t>вул. Якутська, 8 Ж, кімн. 313, 314, м. Київ, 03680</w:t>
            </w:r>
          </w:p>
        </w:tc>
      </w:tr>
    </w:tbl>
    <w:p w:rsidR="00C104A8" w:rsidRPr="002252BC" w:rsidRDefault="00C104A8" w:rsidP="002252BC">
      <w:pPr>
        <w:suppressAutoHyphens w:val="0"/>
        <w:ind w:right="454" w:firstLine="567"/>
        <w:jc w:val="both"/>
        <w:rPr>
          <w:b/>
          <w:lang w:eastAsia="en-US"/>
        </w:rPr>
      </w:pPr>
      <w:r w:rsidRPr="002252BC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0A0" w:firstRow="1" w:lastRow="0" w:firstColumn="1" w:lastColumn="0" w:noHBand="0" w:noVBand="0"/>
      </w:tblPr>
      <w:tblGrid>
        <w:gridCol w:w="8755"/>
      </w:tblGrid>
      <w:tr w:rsidR="00C104A8" w:rsidRPr="002252BC" w:rsidTr="00BA4C2B">
        <w:tc>
          <w:tcPr>
            <w:tcW w:w="8755" w:type="dxa"/>
          </w:tcPr>
          <w:p w:rsidR="00C104A8" w:rsidRPr="002252BC" w:rsidRDefault="00C104A8" w:rsidP="002252BC">
            <w:pPr>
              <w:suppressAutoHyphens w:val="0"/>
              <w:rPr>
                <w:lang w:eastAsia="en-US"/>
              </w:rPr>
            </w:pPr>
            <w:r w:rsidRPr="002252BC">
              <w:rPr>
                <w:lang w:eastAsia="en-US"/>
              </w:rPr>
              <w:t xml:space="preserve">        ТОВ "МЕДІПРОМТЕК", УКРАЇНА</w:t>
            </w:r>
          </w:p>
          <w:p w:rsidR="00C104A8" w:rsidRPr="002252BC" w:rsidRDefault="00C104A8" w:rsidP="002252BC">
            <w:pPr>
              <w:suppressAutoHyphens w:val="0"/>
              <w:rPr>
                <w:lang w:val="uk-UA" w:eastAsia="en-US"/>
              </w:rPr>
            </w:pPr>
            <w:r w:rsidRPr="002252BC">
              <w:rPr>
                <w:lang w:eastAsia="en-US"/>
              </w:rPr>
              <w:t xml:space="preserve">         вул. Стельмаха, буд. 9, м. Ірпінь, Київська обл., 08200</w:t>
            </w:r>
          </w:p>
        </w:tc>
      </w:tr>
    </w:tbl>
    <w:p w:rsidR="00C104A8" w:rsidRPr="002252BC" w:rsidRDefault="00C104A8" w:rsidP="002252BC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2252BC">
        <w:rPr>
          <w:b/>
          <w:lang w:val="uk-UA" w:eastAsia="en-US"/>
        </w:rPr>
        <w:t>9. Додаткова інформація</w:t>
      </w:r>
    </w:p>
    <w:p w:rsidR="00C104A8" w:rsidRDefault="00C104A8" w:rsidP="002252BC">
      <w:pPr>
        <w:widowControl w:val="0"/>
        <w:suppressAutoHyphens w:val="0"/>
        <w:snapToGrid w:val="0"/>
        <w:ind w:right="454" w:firstLine="567"/>
        <w:jc w:val="both"/>
        <w:rPr>
          <w:b/>
          <w:lang w:val="uk-UA"/>
        </w:rPr>
      </w:pPr>
    </w:p>
    <w:sectPr w:rsidR="00C104A8" w:rsidSect="00F569C9">
      <w:footerReference w:type="default" r:id="rId6"/>
      <w:footerReference w:type="first" r:id="rId7"/>
      <w:footnotePr>
        <w:pos w:val="beneathText"/>
      </w:footnotePr>
      <w:pgSz w:w="11905" w:h="16837"/>
      <w:pgMar w:top="567" w:right="454" w:bottom="77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A8" w:rsidRDefault="00C104A8">
      <w:r>
        <w:separator/>
      </w:r>
    </w:p>
  </w:endnote>
  <w:endnote w:type="continuationSeparator" w:id="0">
    <w:p w:rsidR="00C104A8" w:rsidRDefault="00C1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A8" w:rsidRDefault="00C104A8">
    <w:pPr>
      <w:pStyle w:val="Footer"/>
    </w:pPr>
    <w:r>
      <w:rPr>
        <w:noProof/>
        <w:lang w:val="uk-UA"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5.9pt;height:13.6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<v:fill opacity="0"/>
          <v:textbox inset="0,0,0,0">
            <w:txbxContent>
              <w:p w:rsidR="00C104A8" w:rsidRDefault="00C104A8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A8" w:rsidRDefault="00C104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A8" w:rsidRDefault="00C104A8">
      <w:r>
        <w:separator/>
      </w:r>
    </w:p>
  </w:footnote>
  <w:footnote w:type="continuationSeparator" w:id="0">
    <w:p w:rsidR="00C104A8" w:rsidRDefault="00C1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299"/>
    <w:rsid w:val="000037C4"/>
    <w:rsid w:val="000114AF"/>
    <w:rsid w:val="000151C4"/>
    <w:rsid w:val="00054EC9"/>
    <w:rsid w:val="00070B63"/>
    <w:rsid w:val="000918AF"/>
    <w:rsid w:val="00113BD0"/>
    <w:rsid w:val="00117259"/>
    <w:rsid w:val="00136B57"/>
    <w:rsid w:val="00145205"/>
    <w:rsid w:val="00152AFA"/>
    <w:rsid w:val="001629FF"/>
    <w:rsid w:val="00175D6D"/>
    <w:rsid w:val="00182F3F"/>
    <w:rsid w:val="001A1135"/>
    <w:rsid w:val="001B4D32"/>
    <w:rsid w:val="001D25B0"/>
    <w:rsid w:val="001D6374"/>
    <w:rsid w:val="001D6B10"/>
    <w:rsid w:val="001E060B"/>
    <w:rsid w:val="001E1EC7"/>
    <w:rsid w:val="00202D82"/>
    <w:rsid w:val="002121FE"/>
    <w:rsid w:val="002252BC"/>
    <w:rsid w:val="002441C7"/>
    <w:rsid w:val="002877BC"/>
    <w:rsid w:val="002A15FD"/>
    <w:rsid w:val="002B48AC"/>
    <w:rsid w:val="002C0438"/>
    <w:rsid w:val="002C5BB4"/>
    <w:rsid w:val="003A4A15"/>
    <w:rsid w:val="003C7B79"/>
    <w:rsid w:val="003D40F4"/>
    <w:rsid w:val="003D64D5"/>
    <w:rsid w:val="003D7C75"/>
    <w:rsid w:val="003D7D12"/>
    <w:rsid w:val="003E4396"/>
    <w:rsid w:val="003F1EF6"/>
    <w:rsid w:val="00415D28"/>
    <w:rsid w:val="004504E6"/>
    <w:rsid w:val="00452BA6"/>
    <w:rsid w:val="0046611C"/>
    <w:rsid w:val="004839AC"/>
    <w:rsid w:val="0049583E"/>
    <w:rsid w:val="004B21B2"/>
    <w:rsid w:val="004D6759"/>
    <w:rsid w:val="004E69F2"/>
    <w:rsid w:val="00500BB6"/>
    <w:rsid w:val="00503696"/>
    <w:rsid w:val="005708EA"/>
    <w:rsid w:val="005D25CA"/>
    <w:rsid w:val="005D5521"/>
    <w:rsid w:val="00624EDF"/>
    <w:rsid w:val="006454D0"/>
    <w:rsid w:val="00664FC5"/>
    <w:rsid w:val="006B7D2D"/>
    <w:rsid w:val="006C239D"/>
    <w:rsid w:val="00735B88"/>
    <w:rsid w:val="00797215"/>
    <w:rsid w:val="007F729C"/>
    <w:rsid w:val="008008C9"/>
    <w:rsid w:val="0080473A"/>
    <w:rsid w:val="0084274F"/>
    <w:rsid w:val="0085012B"/>
    <w:rsid w:val="008D5120"/>
    <w:rsid w:val="008E0513"/>
    <w:rsid w:val="008E2EC4"/>
    <w:rsid w:val="00903BE6"/>
    <w:rsid w:val="00903DD5"/>
    <w:rsid w:val="00920B30"/>
    <w:rsid w:val="00937AFD"/>
    <w:rsid w:val="009772D9"/>
    <w:rsid w:val="009831B6"/>
    <w:rsid w:val="009929E8"/>
    <w:rsid w:val="009B5299"/>
    <w:rsid w:val="00A023CF"/>
    <w:rsid w:val="00A0752F"/>
    <w:rsid w:val="00A15FF2"/>
    <w:rsid w:val="00A3644B"/>
    <w:rsid w:val="00A674FB"/>
    <w:rsid w:val="00AA3C47"/>
    <w:rsid w:val="00AD42C4"/>
    <w:rsid w:val="00AF0735"/>
    <w:rsid w:val="00B13DC0"/>
    <w:rsid w:val="00B26132"/>
    <w:rsid w:val="00B413C7"/>
    <w:rsid w:val="00B727F5"/>
    <w:rsid w:val="00B9057D"/>
    <w:rsid w:val="00BA4C2B"/>
    <w:rsid w:val="00BB3DCD"/>
    <w:rsid w:val="00BD2077"/>
    <w:rsid w:val="00C104A8"/>
    <w:rsid w:val="00C44D33"/>
    <w:rsid w:val="00C96935"/>
    <w:rsid w:val="00D4041C"/>
    <w:rsid w:val="00D47BA9"/>
    <w:rsid w:val="00D63A6B"/>
    <w:rsid w:val="00D7246C"/>
    <w:rsid w:val="00D84ADC"/>
    <w:rsid w:val="00D85FFF"/>
    <w:rsid w:val="00D90699"/>
    <w:rsid w:val="00D967C8"/>
    <w:rsid w:val="00DA1758"/>
    <w:rsid w:val="00DB0A2A"/>
    <w:rsid w:val="00DC667E"/>
    <w:rsid w:val="00DD31E5"/>
    <w:rsid w:val="00DD537A"/>
    <w:rsid w:val="00E45B81"/>
    <w:rsid w:val="00E56CCE"/>
    <w:rsid w:val="00E7518F"/>
    <w:rsid w:val="00E77844"/>
    <w:rsid w:val="00E868AD"/>
    <w:rsid w:val="00E90C86"/>
    <w:rsid w:val="00EC28AA"/>
    <w:rsid w:val="00EE6717"/>
    <w:rsid w:val="00F02D7D"/>
    <w:rsid w:val="00F33EA4"/>
    <w:rsid w:val="00F4007F"/>
    <w:rsid w:val="00F4448A"/>
    <w:rsid w:val="00F569C9"/>
    <w:rsid w:val="00F8600C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St1z0">
    <w:name w:val="WW8NumSt1z0"/>
    <w:uiPriority w:val="99"/>
    <w:rPr>
      <w:rFonts w:ascii="Arial" w:hAnsi="Arial"/>
    </w:rPr>
  </w:style>
  <w:style w:type="character" w:customStyle="1" w:styleId="WW8NumSt2z0">
    <w:name w:val="WW8NumSt2z0"/>
    <w:uiPriority w:val="99"/>
    <w:rPr>
      <w:rFonts w:ascii="Arial" w:hAnsi="Arial"/>
    </w:rPr>
  </w:style>
  <w:style w:type="character" w:customStyle="1" w:styleId="1">
    <w:name w:val="Основной шрифт абзаца1"/>
    <w:uiPriority w:val="99"/>
  </w:style>
  <w:style w:type="character" w:customStyle="1" w:styleId="a">
    <w:name w:val="Знак"/>
    <w:basedOn w:val="1"/>
    <w:uiPriority w:val="99"/>
    <w:rPr>
      <w:rFonts w:cs="Times New Roman"/>
    </w:rPr>
  </w:style>
  <w:style w:type="character" w:customStyle="1" w:styleId="a0">
    <w:name w:val="Символи виноски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PageNumber">
    <w:name w:val="page number"/>
    <w:basedOn w:val="1"/>
    <w:uiPriority w:val="99"/>
    <w:semiHidden/>
    <w:rPr>
      <w:rFonts w:cs="Times New Roman"/>
    </w:rPr>
  </w:style>
  <w:style w:type="character" w:customStyle="1" w:styleId="a1">
    <w:name w:val="Печатная машинка"/>
    <w:uiPriority w:val="99"/>
    <w:rPr>
      <w:rFonts w:ascii="Courier New" w:hAnsi="Courier New"/>
      <w:sz w:val="20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F30A1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BodyText">
    <w:name w:val="Body Text"/>
    <w:basedOn w:val="Normal"/>
    <w:link w:val="BodyTextChar"/>
    <w:uiPriority w:val="99"/>
    <w:semiHidden/>
    <w:pPr>
      <w:widowControl w:val="0"/>
      <w:jc w:val="both"/>
    </w:pPr>
    <w:rPr>
      <w:b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0A1"/>
    <w:rPr>
      <w:sz w:val="24"/>
      <w:szCs w:val="24"/>
      <w:lang w:val="ru-RU" w:eastAsia="ar-SA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customStyle="1" w:styleId="a2">
    <w:name w:val="Назва"/>
    <w:basedOn w:val="Normal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0A1"/>
    <w:rPr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30A1"/>
    <w:rPr>
      <w:sz w:val="24"/>
      <w:szCs w:val="24"/>
      <w:lang w:val="ru-RU" w:eastAsia="ar-SA"/>
    </w:rPr>
  </w:style>
  <w:style w:type="paragraph" w:customStyle="1" w:styleId="22">
    <w:name w:val="Основной текст 22"/>
    <w:basedOn w:val="Normal"/>
    <w:uiPriority w:val="99"/>
    <w:pPr>
      <w:spacing w:after="120" w:line="480" w:lineRule="auto"/>
    </w:pPr>
  </w:style>
  <w:style w:type="paragraph" w:customStyle="1" w:styleId="31">
    <w:name w:val="Основной текст с отступом 31"/>
    <w:basedOn w:val="Normal"/>
    <w:uiPriority w:val="99"/>
    <w:pPr>
      <w:widowControl w:val="0"/>
      <w:ind w:firstLine="720"/>
      <w:jc w:val="both"/>
    </w:pPr>
    <w:rPr>
      <w:b/>
      <w:szCs w:val="20"/>
      <w:lang w:val="uk-UA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0A1"/>
    <w:rPr>
      <w:sz w:val="24"/>
      <w:szCs w:val="24"/>
      <w:lang w:val="ru-RU" w:eastAsia="ar-SA"/>
    </w:rPr>
  </w:style>
  <w:style w:type="paragraph" w:customStyle="1" w:styleId="Standard">
    <w:name w:val="Standard"/>
    <w:uiPriority w:val="99"/>
    <w:pPr>
      <w:suppressAutoHyphens/>
    </w:pPr>
    <w:rPr>
      <w:rFonts w:ascii="Arial" w:hAnsi="Arial"/>
      <w:sz w:val="24"/>
      <w:szCs w:val="20"/>
      <w:lang w:val="ru-RU" w:eastAsia="ar-SA"/>
    </w:rPr>
  </w:style>
  <w:style w:type="paragraph" w:customStyle="1" w:styleId="21">
    <w:name w:val="Основной текст с отступом 21"/>
    <w:basedOn w:val="Normal"/>
    <w:uiPriority w:val="99"/>
    <w:pPr>
      <w:spacing w:after="120" w:line="480" w:lineRule="auto"/>
      <w:ind w:left="283"/>
    </w:pPr>
  </w:style>
  <w:style w:type="paragraph" w:customStyle="1" w:styleId="310">
    <w:name w:val="Основной текст 31"/>
    <w:basedOn w:val="Normal"/>
    <w:uiPriority w:val="99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Normal"/>
    <w:uiPriority w:val="99"/>
    <w:pPr>
      <w:widowControl w:val="0"/>
      <w:jc w:val="center"/>
    </w:pPr>
    <w:rPr>
      <w:b/>
      <w:szCs w:val="20"/>
      <w:lang w:val="uk-UA"/>
    </w:rPr>
  </w:style>
  <w:style w:type="paragraph" w:customStyle="1" w:styleId="a4">
    <w:name w:val="Вміст таблиці"/>
    <w:basedOn w:val="Normal"/>
    <w:uiPriority w:val="99"/>
    <w:pPr>
      <w:suppressLineNumbers/>
    </w:pPr>
  </w:style>
  <w:style w:type="paragraph" w:customStyle="1" w:styleId="a5">
    <w:name w:val="Заголовок таблиці"/>
    <w:basedOn w:val="a4"/>
    <w:uiPriority w:val="99"/>
    <w:pPr>
      <w:jc w:val="center"/>
    </w:pPr>
    <w:rPr>
      <w:b/>
      <w:bCs/>
    </w:rPr>
  </w:style>
  <w:style w:type="paragraph" w:customStyle="1" w:styleId="a6">
    <w:name w:val="Вміст кадру"/>
    <w:basedOn w:val="BodyText"/>
    <w:uiPriority w:val="99"/>
  </w:style>
  <w:style w:type="paragraph" w:styleId="NoSpacing">
    <w:name w:val="No Spacing"/>
    <w:uiPriority w:val="99"/>
    <w:qFormat/>
    <w:rsid w:val="00F33EA4"/>
    <w:rPr>
      <w:rFonts w:ascii="Calibri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6349</Words>
  <Characters>3620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dc:description/>
  <cp:lastModifiedBy>Vezdenko</cp:lastModifiedBy>
  <cp:revision>6</cp:revision>
  <cp:lastPrinted>1900-12-31T22:00:00Z</cp:lastPrinted>
  <dcterms:created xsi:type="dcterms:W3CDTF">2026-01-27T19:56:00Z</dcterms:created>
  <dcterms:modified xsi:type="dcterms:W3CDTF">2026-03-25T13:18:00Z</dcterms:modified>
</cp:coreProperties>
</file>