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0049" w14:textId="77777777" w:rsidR="009500C4" w:rsidRPr="009500C4" w:rsidRDefault="009500C4" w:rsidP="009500C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Додаток 1</w:t>
      </w:r>
    </w:p>
    <w:p w14:paraId="3130B84D" w14:textId="77777777" w:rsidR="009500C4" w:rsidRPr="009500C4" w:rsidRDefault="009500C4" w:rsidP="009500C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до реєстраційного посвідчення AB-03350-01-12</w:t>
      </w:r>
    </w:p>
    <w:p w14:paraId="2532A83F" w14:textId="77777777" w:rsidR="009500C4" w:rsidRPr="009500C4" w:rsidRDefault="009500C4" w:rsidP="009500C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36D489D" w14:textId="77777777" w:rsidR="009500C4" w:rsidRPr="009500C4" w:rsidRDefault="009500C4" w:rsidP="009500C4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0C4">
        <w:rPr>
          <w:rFonts w:ascii="Times New Roman" w:hAnsi="Times New Roman" w:cs="Times New Roman"/>
          <w:b/>
          <w:bCs/>
          <w:sz w:val="24"/>
          <w:szCs w:val="24"/>
        </w:rPr>
        <w:t>Коротка характеристика препарату</w:t>
      </w:r>
    </w:p>
    <w:p w14:paraId="32876CB4" w14:textId="77777777" w:rsidR="009500C4" w:rsidRPr="009500C4" w:rsidRDefault="009500C4" w:rsidP="009500C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38D0DAD5" w14:textId="77777777" w:rsidR="009500C4" w:rsidRPr="009500C4" w:rsidRDefault="009500C4" w:rsidP="009500C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3F67E78F" w14:textId="77777777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1. Назва</w:t>
      </w:r>
    </w:p>
    <w:p w14:paraId="102B2C0C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Альбендазол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 10 % суспензія</w:t>
      </w:r>
    </w:p>
    <w:p w14:paraId="63458CB1" w14:textId="77777777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2. Склад</w:t>
      </w:r>
    </w:p>
    <w:p w14:paraId="7E335550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100 мл препарату містять діючу речовину:</w:t>
      </w:r>
    </w:p>
    <w:p w14:paraId="125CD74D" w14:textId="043F34B3" w:rsidR="009500C4" w:rsidRPr="009500C4" w:rsidRDefault="000965C9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А</w:t>
      </w:r>
      <w:r w:rsidR="009500C4" w:rsidRPr="009500C4">
        <w:rPr>
          <w:rFonts w:ascii="Times New Roman" w:hAnsi="Times New Roman" w:cs="Times New Roman"/>
          <w:sz w:val="24"/>
          <w:szCs w:val="24"/>
        </w:rPr>
        <w:t>льбендазол</w:t>
      </w:r>
      <w:proofErr w:type="spellEnd"/>
      <w:r w:rsidR="009500C4" w:rsidRPr="009500C4">
        <w:rPr>
          <w:rFonts w:ascii="Times New Roman" w:hAnsi="Times New Roman" w:cs="Times New Roman"/>
          <w:sz w:val="24"/>
          <w:szCs w:val="24"/>
        </w:rPr>
        <w:t xml:space="preserve"> - 10 г.</w:t>
      </w:r>
    </w:p>
    <w:p w14:paraId="0EBC548E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Допоміжні речовини: гліцерин,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полісорбат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полівінілпірролідон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, цукор пісок, натрію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бензоат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>,</w:t>
      </w:r>
    </w:p>
    <w:p w14:paraId="6A048C2C" w14:textId="77777777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калію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сорбат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>, вода дистильована.</w:t>
      </w:r>
    </w:p>
    <w:p w14:paraId="4B8263DA" w14:textId="77777777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3. Фармацевтична (лікарська) форма</w:t>
      </w:r>
    </w:p>
    <w:p w14:paraId="643D834D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Суспензія для перорального застосування.</w:t>
      </w:r>
    </w:p>
    <w:p w14:paraId="26E30A66" w14:textId="77777777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4. Фармакологічні властивості</w:t>
      </w:r>
    </w:p>
    <w:p w14:paraId="6F12B455" w14:textId="77777777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АТС </w:t>
      </w:r>
      <w:proofErr w:type="spellStart"/>
      <w:r w:rsidRPr="0009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vet</w:t>
      </w:r>
      <w:proofErr w:type="spellEnd"/>
      <w:r w:rsidRPr="0009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класифікаційний код QP52А, група </w:t>
      </w:r>
      <w:proofErr w:type="spellStart"/>
      <w:r w:rsidRPr="0009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протитрематодних</w:t>
      </w:r>
      <w:proofErr w:type="spellEnd"/>
      <w:r w:rsidRPr="0009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09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протинематодних</w:t>
      </w:r>
      <w:proofErr w:type="spellEnd"/>
      <w:r w:rsidRPr="0009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і</w:t>
      </w:r>
    </w:p>
    <w:p w14:paraId="3B9D1372" w14:textId="77777777" w:rsidR="009500C4" w:rsidRPr="000965C9" w:rsidRDefault="009500C4" w:rsidP="009500C4">
      <w:pPr>
        <w:pStyle w:val="ac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9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протицестодних</w:t>
      </w:r>
      <w:proofErr w:type="spellEnd"/>
      <w:r w:rsidRPr="0009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ветеринарних препаратів (QP52A C11, </w:t>
      </w:r>
      <w:proofErr w:type="spellStart"/>
      <w:r w:rsidRPr="0009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альбендазол</w:t>
      </w:r>
      <w:proofErr w:type="spellEnd"/>
      <w:r w:rsidRPr="000965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14:paraId="13FFCBEA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Діюча речовина препарату,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альбендазол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, належить до групи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бензімідазолів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 з широким</w:t>
      </w:r>
    </w:p>
    <w:p w14:paraId="573E9F22" w14:textId="77777777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спектром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антигельмінтної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 дії.</w:t>
      </w:r>
    </w:p>
    <w:p w14:paraId="186BAE00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Механізм дії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альбендазолу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 обумовлений пригніченням синтезу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тубулінового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 білка та</w:t>
      </w:r>
    </w:p>
    <w:p w14:paraId="407C0F26" w14:textId="0D193325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гальмування активності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фумаратредуктази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>. Наслідком цих процесів є складні порушення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0C4">
        <w:rPr>
          <w:rFonts w:ascii="Times New Roman" w:hAnsi="Times New Roman" w:cs="Times New Roman"/>
          <w:sz w:val="24"/>
          <w:szCs w:val="24"/>
        </w:rPr>
        <w:t>біохімічних процесів, які гальмують білковий синтез, порушують надходження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0C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0C4">
        <w:rPr>
          <w:rFonts w:ascii="Times New Roman" w:hAnsi="Times New Roman" w:cs="Times New Roman"/>
          <w:sz w:val="24"/>
          <w:szCs w:val="24"/>
        </w:rPr>
        <w:t>внутрішньоклітинне транспортування поживних речовин і обмін субстратів речовин, знижують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0C4">
        <w:rPr>
          <w:rFonts w:ascii="Times New Roman" w:hAnsi="Times New Roman" w:cs="Times New Roman"/>
          <w:sz w:val="24"/>
          <w:szCs w:val="24"/>
        </w:rPr>
        <w:t>мітохондріальні реакції, що призводить до загибелі паразитів.</w:t>
      </w:r>
    </w:p>
    <w:p w14:paraId="725E023D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Альбендазол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 після перорального уведення в організм тварини слабо всмоктується з травному</w:t>
      </w:r>
    </w:p>
    <w:p w14:paraId="1B88CB68" w14:textId="77777777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каналі. Разом з тим, активно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метаболізується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 в основний метаболіт - сульфат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альбендазолу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>, що</w:t>
      </w:r>
    </w:p>
    <w:p w14:paraId="69F02853" w14:textId="77777777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проникає в органи і тканини та є основною ефективною речовиною проти гельмінтів. Сульфат</w:t>
      </w:r>
    </w:p>
    <w:p w14:paraId="3D47E64C" w14:textId="77777777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альбендазолу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 та інші метаболіти виводяться переважно з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жовчю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>, і тільки невелика їх частина</w:t>
      </w:r>
    </w:p>
    <w:p w14:paraId="0A5ACBE7" w14:textId="77777777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виводиться із сечею.</w:t>
      </w:r>
    </w:p>
    <w:p w14:paraId="584D0BAC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Альбендазол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 застосовують тваринам без дотримання дієти і застосування послаблюючих</w:t>
      </w:r>
    </w:p>
    <w:p w14:paraId="1EC5AC83" w14:textId="77777777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речовин.</w:t>
      </w:r>
    </w:p>
    <w:p w14:paraId="2077EE11" w14:textId="77777777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5. Клінічні особливості</w:t>
      </w:r>
    </w:p>
    <w:p w14:paraId="33F4B8CD" w14:textId="77777777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5.1 Вид тварин</w:t>
      </w:r>
    </w:p>
    <w:p w14:paraId="4E6253E8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Велика рогата худоба, вівці.</w:t>
      </w:r>
    </w:p>
    <w:p w14:paraId="0896B5C9" w14:textId="6570F0AE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5.2 Показання до застосування</w:t>
      </w:r>
    </w:p>
    <w:p w14:paraId="18C8A721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Дегельмінтизація великої рогатої худоби, овець при ураженні нематодами травного каналу та</w:t>
      </w:r>
    </w:p>
    <w:p w14:paraId="64C05EEC" w14:textId="77777777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дихальних шляхів, цестодами (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монієзіоз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, авітеліноз,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тизанієзіоз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>), трематодами (фасціольоз за</w:t>
      </w:r>
    </w:p>
    <w:p w14:paraId="43067DF1" w14:textId="77777777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хронічного перебігу;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дикроцеліоз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>).</w:t>
      </w:r>
    </w:p>
    <w:p w14:paraId="6B1A6A34" w14:textId="77777777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5.3 Протипоказання</w:t>
      </w:r>
    </w:p>
    <w:p w14:paraId="6F693D0E" w14:textId="77777777" w:rsidR="009500C4" w:rsidRPr="009500C4" w:rsidRDefault="009500C4" w:rsidP="000965C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Підвищена чутливість до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альбендазолу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>.</w:t>
      </w:r>
    </w:p>
    <w:p w14:paraId="33583F24" w14:textId="77777777" w:rsidR="009500C4" w:rsidRPr="009500C4" w:rsidRDefault="009500C4" w:rsidP="000965C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Не застосовувати коровам протягом перших 45 днів тільності.</w:t>
      </w:r>
    </w:p>
    <w:p w14:paraId="5B7B280F" w14:textId="77777777" w:rsidR="009500C4" w:rsidRPr="009500C4" w:rsidRDefault="009500C4" w:rsidP="000965C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Не застосовувати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лактуючим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 коровам молоко яких вживають в їжу люди.</w:t>
      </w:r>
    </w:p>
    <w:p w14:paraId="1EBCBB71" w14:textId="77777777" w:rsidR="009500C4" w:rsidRPr="009500C4" w:rsidRDefault="009500C4" w:rsidP="000965C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Не застосовувати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годуючим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 xml:space="preserve"> самкам овець. Не застосовувати вівцям протягом перших 30 днів</w:t>
      </w:r>
    </w:p>
    <w:p w14:paraId="496F986B" w14:textId="77777777" w:rsidR="009500C4" w:rsidRPr="009500C4" w:rsidRDefault="009500C4" w:rsidP="000965C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вагітності або протягом 30 днів після відведення баранів.</w:t>
      </w:r>
    </w:p>
    <w:p w14:paraId="59372DD1" w14:textId="77777777" w:rsidR="009500C4" w:rsidRPr="009500C4" w:rsidRDefault="009500C4" w:rsidP="000965C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Не застосовувати самкам у першу третину вагітності.</w:t>
      </w:r>
    </w:p>
    <w:p w14:paraId="34E588D0" w14:textId="77777777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5.4 Побічна дія</w:t>
      </w:r>
    </w:p>
    <w:p w14:paraId="64BE5DE4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 xml:space="preserve">У тварин, чутливих до </w:t>
      </w:r>
      <w:proofErr w:type="spellStart"/>
      <w:r w:rsidRPr="009500C4">
        <w:rPr>
          <w:rFonts w:ascii="Times New Roman" w:hAnsi="Times New Roman" w:cs="Times New Roman"/>
          <w:sz w:val="24"/>
          <w:szCs w:val="24"/>
        </w:rPr>
        <w:t>бензимідазолів</w:t>
      </w:r>
      <w:proofErr w:type="spellEnd"/>
      <w:r w:rsidRPr="009500C4">
        <w:rPr>
          <w:rFonts w:ascii="Times New Roman" w:hAnsi="Times New Roman" w:cs="Times New Roman"/>
          <w:sz w:val="24"/>
          <w:szCs w:val="24"/>
        </w:rPr>
        <w:t>, можливі ускладнення: алергічні реакції (висипання на</w:t>
      </w:r>
    </w:p>
    <w:p w14:paraId="7624D4DB" w14:textId="77777777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шкірі, свербіж, набряки), порушення кровотворення.</w:t>
      </w:r>
    </w:p>
    <w:p w14:paraId="7E06DE60" w14:textId="77777777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5.5 Особливі застереження при використанні</w:t>
      </w:r>
    </w:p>
    <w:p w14:paraId="688DFCC9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Особливих застережень не має.</w:t>
      </w:r>
    </w:p>
    <w:p w14:paraId="2A27AB39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5.6 Використання під час вагітності, лактації, несучості</w:t>
      </w:r>
    </w:p>
    <w:p w14:paraId="4EE07B61" w14:textId="77777777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Не застосовувати самкам у першу третину вагітності.</w:t>
      </w:r>
    </w:p>
    <w:p w14:paraId="14EA11A1" w14:textId="77777777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5.7 Взаємодія з іншими засобами та інші форми взаємодії</w:t>
      </w:r>
    </w:p>
    <w:p w14:paraId="507D45EA" w14:textId="0EEADFBC" w:rsidR="009500C4" w:rsidRPr="009500C4" w:rsidRDefault="009500C4" w:rsidP="009500C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Продовження д</w:t>
      </w:r>
      <w:r w:rsidRPr="009500C4">
        <w:rPr>
          <w:rFonts w:ascii="Times New Roman" w:hAnsi="Times New Roman" w:cs="Times New Roman"/>
          <w:sz w:val="24"/>
          <w:szCs w:val="24"/>
        </w:rPr>
        <w:t>одат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9500C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0EFFF5E" w14:textId="77777777" w:rsidR="009500C4" w:rsidRPr="009500C4" w:rsidRDefault="009500C4" w:rsidP="009500C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до реєстраційного посвідчення AB-03350-01-12</w:t>
      </w:r>
    </w:p>
    <w:p w14:paraId="4525A6D0" w14:textId="77777777" w:rsidR="009500C4" w:rsidRPr="009500C4" w:rsidRDefault="009500C4" w:rsidP="009500C4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31BB6" w14:textId="53E64D05" w:rsidR="009500C4" w:rsidRPr="009500C4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Не застосовувати одночасно з іншими проти паразитарними препаратами.</w:t>
      </w:r>
    </w:p>
    <w:p w14:paraId="1F096861" w14:textId="5C3B073B" w:rsidR="009500C4" w:rsidRPr="000965C9" w:rsidRDefault="009500C4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5.8 Дози і способи введення тваринам різного віку</w:t>
      </w:r>
    </w:p>
    <w:p w14:paraId="5765BA68" w14:textId="73D09A17" w:rsidR="002005A0" w:rsidRDefault="002005A0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Альбендазол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10% суспензія задається тваринам пероральним шляхом примусово індивідуально у дозах: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7371"/>
        <w:gridCol w:w="1978"/>
      </w:tblGrid>
      <w:tr w:rsidR="00EC4CBB" w14:paraId="22D91C76" w14:textId="77777777" w:rsidTr="00EC4CBB">
        <w:tc>
          <w:tcPr>
            <w:tcW w:w="1129" w:type="dxa"/>
          </w:tcPr>
          <w:p w14:paraId="22D3E69E" w14:textId="121D40BA" w:rsidR="00EC4CBB" w:rsidRPr="00EC4CBB" w:rsidRDefault="00EC4CBB" w:rsidP="00EC4C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тварин</w:t>
            </w:r>
          </w:p>
        </w:tc>
        <w:tc>
          <w:tcPr>
            <w:tcW w:w="7371" w:type="dxa"/>
          </w:tcPr>
          <w:p w14:paraId="3642FA0A" w14:textId="1AAEE88F" w:rsidR="00EC4CBB" w:rsidRPr="00EC4CBB" w:rsidRDefault="00EC4CBB" w:rsidP="00EC4C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гельмінтів</w:t>
            </w:r>
          </w:p>
        </w:tc>
        <w:tc>
          <w:tcPr>
            <w:tcW w:w="1978" w:type="dxa"/>
          </w:tcPr>
          <w:p w14:paraId="427F25C7" w14:textId="428A8756" w:rsidR="00EC4CBB" w:rsidRPr="00EC4CBB" w:rsidRDefault="00EC4CBB" w:rsidP="00EC4C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Доза препарату, мл/10 кг маси тіла.</w:t>
            </w:r>
          </w:p>
        </w:tc>
      </w:tr>
      <w:tr w:rsidR="00EC4CBB" w14:paraId="17E63324" w14:textId="77777777" w:rsidTr="00EC4CBB">
        <w:trPr>
          <w:trHeight w:val="466"/>
        </w:trPr>
        <w:tc>
          <w:tcPr>
            <w:tcW w:w="1129" w:type="dxa"/>
            <w:vMerge w:val="restart"/>
          </w:tcPr>
          <w:p w14:paraId="7E25942F" w14:textId="20E7824D" w:rsidR="00EC4CBB" w:rsidRPr="000965C9" w:rsidRDefault="00EC4CBB" w:rsidP="009500C4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Велика рогата худоба</w:t>
            </w:r>
          </w:p>
        </w:tc>
        <w:tc>
          <w:tcPr>
            <w:tcW w:w="7371" w:type="dxa"/>
          </w:tcPr>
          <w:p w14:paraId="1FFE8A2E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Нематоди травного каналу:</w:t>
            </w:r>
          </w:p>
          <w:p w14:paraId="0307C26F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Haemonchus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placei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Bunostomum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phlebotomum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Nematodirus</w:t>
            </w:r>
            <w:proofErr w:type="spellEnd"/>
          </w:p>
          <w:p w14:paraId="5BBAC6E2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spathiger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Nematodirus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helvetianus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Oesophagostomum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radiatum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276CAC8A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Ostertagia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ostertagi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Trichostrongylus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axei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Trichostrongylus</w:t>
            </w:r>
            <w:proofErr w:type="spellEnd"/>
          </w:p>
          <w:p w14:paraId="0F23EBD9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colubriformis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Cooperia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punctata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Cooperia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oncophora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Trichuris</w:t>
            </w:r>
            <w:proofErr w:type="spellEnd"/>
          </w:p>
          <w:p w14:paraId="701BA2C5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skrjabini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Strongyloides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papillosus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Neoascaris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Toxocara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vitulorum</w:t>
            </w:r>
            <w:proofErr w:type="spellEnd"/>
          </w:p>
          <w:p w14:paraId="6F404F95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Нематоди дихальних шляхів:</w:t>
            </w:r>
          </w:p>
          <w:p w14:paraId="1139F640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Dictyocaulus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viviparus</w:t>
            </w:r>
            <w:proofErr w:type="spellEnd"/>
          </w:p>
          <w:p w14:paraId="77A8B71C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Цестоди </w:t>
            </w:r>
            <w:proofErr w:type="spellStart"/>
            <w:r w:rsidRPr="00EC4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преімагінальні</w:t>
            </w:r>
            <w:proofErr w:type="spellEnd"/>
            <w:r w:rsidRPr="00EC4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EC4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імагінальні</w:t>
            </w:r>
            <w:proofErr w:type="spellEnd"/>
            <w:r w:rsidRPr="00EC4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E85A06A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Moniezia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spp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Avitellina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centripunctata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Thysaniezia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ovilla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syn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02B2CD8F" w14:textId="0767C413" w:rsid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Thysaniezia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giardi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78" w:type="dxa"/>
          </w:tcPr>
          <w:p w14:paraId="20848B71" w14:textId="387311B7" w:rsidR="00EC4CBB" w:rsidRPr="00EC4CBB" w:rsidRDefault="00EC4CBB" w:rsidP="00950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одноразово)</w:t>
            </w:r>
          </w:p>
        </w:tc>
      </w:tr>
      <w:tr w:rsidR="00EC4CBB" w14:paraId="613FC0BF" w14:textId="77777777" w:rsidTr="00EC4CBB">
        <w:tc>
          <w:tcPr>
            <w:tcW w:w="1129" w:type="dxa"/>
            <w:vMerge/>
          </w:tcPr>
          <w:p w14:paraId="7544A253" w14:textId="77777777" w:rsidR="00EC4CBB" w:rsidRDefault="00EC4CBB" w:rsidP="00950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298C480" w14:textId="77777777" w:rsidR="00EC4CBB" w:rsidRPr="000965C9" w:rsidRDefault="00EC4CBB" w:rsidP="009500C4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Трематоди печінки (статевозрілі):</w:t>
            </w:r>
          </w:p>
          <w:p w14:paraId="65143779" w14:textId="0C6F26F6" w:rsidR="00EC4CBB" w:rsidRPr="00B25BB2" w:rsidRDefault="00EC4CBB" w:rsidP="009500C4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Fasciola</w:t>
            </w:r>
            <w:r w:rsidRPr="00B25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hepatica</w:t>
            </w:r>
            <w:r w:rsidRPr="00B25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Dicrocelium</w:t>
            </w:r>
            <w:proofErr w:type="spellEnd"/>
            <w:r w:rsidRPr="00B25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lanceatum</w:t>
            </w:r>
            <w:proofErr w:type="spellEnd"/>
            <w:r w:rsidRPr="00B25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dendriticum</w:t>
            </w:r>
            <w:proofErr w:type="spellEnd"/>
          </w:p>
        </w:tc>
        <w:tc>
          <w:tcPr>
            <w:tcW w:w="1978" w:type="dxa"/>
          </w:tcPr>
          <w:p w14:paraId="53A0F765" w14:textId="4C419F7D" w:rsidR="00EC4CBB" w:rsidRDefault="00EC4CBB" w:rsidP="00950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одноразово)</w:t>
            </w:r>
          </w:p>
        </w:tc>
      </w:tr>
      <w:tr w:rsidR="00EC4CBB" w14:paraId="4C78571D" w14:textId="77777777" w:rsidTr="00EC4CBB">
        <w:tc>
          <w:tcPr>
            <w:tcW w:w="1129" w:type="dxa"/>
            <w:vMerge w:val="restart"/>
          </w:tcPr>
          <w:p w14:paraId="65D23E2B" w14:textId="6A5B0555" w:rsidR="00EC4CBB" w:rsidRPr="000965C9" w:rsidRDefault="00EC4CBB" w:rsidP="009500C4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Вівці</w:t>
            </w:r>
          </w:p>
        </w:tc>
        <w:tc>
          <w:tcPr>
            <w:tcW w:w="7371" w:type="dxa"/>
          </w:tcPr>
          <w:p w14:paraId="06BD6EAD" w14:textId="77777777" w:rsidR="00EC4CBB" w:rsidRPr="000965C9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Нематоди травного каналу:</w:t>
            </w:r>
          </w:p>
          <w:p w14:paraId="2C4B9DD1" w14:textId="4524F905" w:rsidR="00EC4CBB" w:rsidRPr="00B25BB2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Haemonchus</w:t>
            </w:r>
            <w:proofErr w:type="spellEnd"/>
            <w:r w:rsidRPr="00B25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contortus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B25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Bunostomum</w:t>
            </w:r>
            <w:proofErr w:type="spellEnd"/>
            <w:r w:rsidRPr="00B25B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tridonocephalum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6BF232E4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Nematodirus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spathiger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N.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filicollis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Oesophagostomum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venulosum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4597381C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Oesophagostomum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columbianum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Ostertagia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circumcincta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55505792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Marshallagia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marshalli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Trichostrongylus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axei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Trichostrongylus</w:t>
            </w:r>
            <w:proofErr w:type="spellEnd"/>
          </w:p>
          <w:p w14:paraId="063C6E3C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colubriformis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Cooperia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oncophora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Chabertia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ovina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Skrjabinema</w:t>
            </w:r>
            <w:proofErr w:type="spellEnd"/>
          </w:p>
          <w:p w14:paraId="575DA061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ovis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Trichuris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ovis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Trichuris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globulosa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Strongyloides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papillosus</w:t>
            </w:r>
            <w:proofErr w:type="spellEnd"/>
          </w:p>
          <w:p w14:paraId="3DDE8600" w14:textId="77777777" w:rsidR="00EC4CBB" w:rsidRPr="000965C9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Нематоди дихальних шляхів:</w:t>
            </w:r>
          </w:p>
          <w:p w14:paraId="1CC782E5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Dictyocaulus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filaria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Muellerius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capillaris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Protostrongylus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kochi</w:t>
            </w:r>
            <w:proofErr w:type="spellEnd"/>
          </w:p>
          <w:p w14:paraId="2CF55D50" w14:textId="77777777" w:rsidR="00EC4CBB" w:rsidRPr="000965C9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Цестоди </w:t>
            </w:r>
            <w:proofErr w:type="spellStart"/>
            <w:r w:rsidRPr="0009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преімагінальні</w:t>
            </w:r>
            <w:proofErr w:type="spellEnd"/>
            <w:r w:rsidRPr="0009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09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імагінальні</w:t>
            </w:r>
            <w:proofErr w:type="spellEnd"/>
            <w:r w:rsidRPr="0009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09A2E6" w14:textId="77777777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Moniezia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spp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Avitellina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centripunctata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Thysaniezia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ovilla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syn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4DA7EF35" w14:textId="5C50A0C8" w:rsidR="00EC4CBB" w:rsidRP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Thysaniezia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giardi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78" w:type="dxa"/>
          </w:tcPr>
          <w:p w14:paraId="3E909A32" w14:textId="18F53CA8" w:rsidR="00EC4CBB" w:rsidRDefault="00EC4CBB" w:rsidP="00950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одноразово)</w:t>
            </w:r>
          </w:p>
        </w:tc>
      </w:tr>
      <w:tr w:rsidR="00EC4CBB" w14:paraId="54E25A16" w14:textId="77777777" w:rsidTr="00EC4CBB">
        <w:tc>
          <w:tcPr>
            <w:tcW w:w="1129" w:type="dxa"/>
            <w:vMerge/>
          </w:tcPr>
          <w:p w14:paraId="3FB2E367" w14:textId="77777777" w:rsidR="00EC4CBB" w:rsidRDefault="00EC4CBB" w:rsidP="00950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C34F2F3" w14:textId="77777777" w:rsidR="00EC4CBB" w:rsidRPr="000965C9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Трематоди печінки (статевозрілі):</w:t>
            </w:r>
          </w:p>
          <w:p w14:paraId="4CCAC786" w14:textId="36590309" w:rsidR="00EC4CBB" w:rsidRDefault="00EC4CBB" w:rsidP="00EC4CB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Fasciola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hepatica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Dicrocoelium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lanceatum</w:t>
            </w:r>
            <w:proofErr w:type="spellEnd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EC4C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dendriticum</w:t>
            </w:r>
            <w:proofErr w:type="spellEnd"/>
          </w:p>
        </w:tc>
        <w:tc>
          <w:tcPr>
            <w:tcW w:w="1978" w:type="dxa"/>
          </w:tcPr>
          <w:p w14:paraId="1A55491B" w14:textId="107B482C" w:rsidR="00EC4CBB" w:rsidRDefault="00EC4CBB" w:rsidP="009500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1,0одноразово)</w:t>
            </w:r>
          </w:p>
        </w:tc>
      </w:tr>
    </w:tbl>
    <w:p w14:paraId="5BFA9D38" w14:textId="77777777" w:rsidR="00EC4CBB" w:rsidRDefault="00EC4CBB" w:rsidP="009500C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381B55A4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5.9 Передозування (симптоми, невідкладні заходи, антидоти)</w:t>
      </w:r>
    </w:p>
    <w:p w14:paraId="0BB1596F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При застосовуванні препарату в рекомендованих дозах клінічних ознак передозування не</w:t>
      </w:r>
    </w:p>
    <w:p w14:paraId="2DC0BD89" w14:textId="77777777" w:rsidR="00DD0D1C" w:rsidRPr="00DD0D1C" w:rsidRDefault="00DD0D1C" w:rsidP="00DD0D1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спостерігається.</w:t>
      </w:r>
    </w:p>
    <w:p w14:paraId="5633EBD0" w14:textId="77777777" w:rsidR="00DD0D1C" w:rsidRPr="00DD0D1C" w:rsidRDefault="00DD0D1C" w:rsidP="00DD0D1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У продуктивних тварин симптомів передозування практично не спостерігається.</w:t>
      </w:r>
    </w:p>
    <w:p w14:paraId="20EA6980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5.10 Спеціальні застереження</w:t>
      </w:r>
    </w:p>
    <w:p w14:paraId="5BDE0C4B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 xml:space="preserve">Препарат не застосовують з іншими </w:t>
      </w:r>
      <w:proofErr w:type="spellStart"/>
      <w:r w:rsidRPr="00DD0D1C">
        <w:rPr>
          <w:rFonts w:ascii="Times New Roman" w:hAnsi="Times New Roman" w:cs="Times New Roman"/>
          <w:sz w:val="24"/>
          <w:szCs w:val="24"/>
        </w:rPr>
        <w:t>антигельмінтними</w:t>
      </w:r>
      <w:proofErr w:type="spellEnd"/>
      <w:r w:rsidRPr="00DD0D1C">
        <w:rPr>
          <w:rFonts w:ascii="Times New Roman" w:hAnsi="Times New Roman" w:cs="Times New Roman"/>
          <w:sz w:val="24"/>
          <w:szCs w:val="24"/>
        </w:rPr>
        <w:t xml:space="preserve"> засобами.</w:t>
      </w:r>
    </w:p>
    <w:p w14:paraId="708A8D4F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5.11 Період виведення (</w:t>
      </w:r>
      <w:proofErr w:type="spellStart"/>
      <w:r w:rsidRPr="00DD0D1C">
        <w:rPr>
          <w:rFonts w:ascii="Times New Roman" w:hAnsi="Times New Roman" w:cs="Times New Roman"/>
          <w:sz w:val="24"/>
          <w:szCs w:val="24"/>
        </w:rPr>
        <w:t>каренція</w:t>
      </w:r>
      <w:proofErr w:type="spellEnd"/>
      <w:r w:rsidRPr="00DD0D1C">
        <w:rPr>
          <w:rFonts w:ascii="Times New Roman" w:hAnsi="Times New Roman" w:cs="Times New Roman"/>
          <w:sz w:val="24"/>
          <w:szCs w:val="24"/>
        </w:rPr>
        <w:t>)</w:t>
      </w:r>
    </w:p>
    <w:p w14:paraId="0E5BF767" w14:textId="1EAEAD10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Забій тварин на м'ясо дозволяється через 15 діб (велика рогата худоба), 13 діб (вівці) після</w:t>
      </w:r>
    </w:p>
    <w:p w14:paraId="792EECE0" w14:textId="77777777" w:rsidR="00DD0D1C" w:rsidRPr="00DD0D1C" w:rsidRDefault="00DD0D1C" w:rsidP="00DD0D1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останнього застосування препарату.</w:t>
      </w:r>
    </w:p>
    <w:p w14:paraId="18425200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Отримане до зазначеного терміну м'ясо та молоко утилізують або згодовують</w:t>
      </w:r>
    </w:p>
    <w:p w14:paraId="435090F5" w14:textId="77777777" w:rsidR="00DD0D1C" w:rsidRPr="00DD0D1C" w:rsidRDefault="00DD0D1C" w:rsidP="00DD0D1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непродуктивним тваринам, залежно від висновку лікаря ветеринарної медицини.</w:t>
      </w:r>
    </w:p>
    <w:p w14:paraId="04D5E15F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5.12 Спеціальні застереження для осіб і обслуговуючого персоналу</w:t>
      </w:r>
    </w:p>
    <w:p w14:paraId="1C33AF3D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Необхідно дотримуватись правил роботи з ветеринарними препаратами.</w:t>
      </w:r>
    </w:p>
    <w:p w14:paraId="05D673B5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6. Фармацевтичні особливості</w:t>
      </w:r>
    </w:p>
    <w:p w14:paraId="0F21913E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6.1 Форми несумісності (основні)</w:t>
      </w:r>
    </w:p>
    <w:p w14:paraId="15CDAAA1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Не встановлені.</w:t>
      </w:r>
    </w:p>
    <w:p w14:paraId="14213C54" w14:textId="77777777" w:rsidR="00DD0D1C" w:rsidRPr="009500C4" w:rsidRDefault="00DD0D1C" w:rsidP="00DD0D1C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Продовження д</w:t>
      </w:r>
      <w:r w:rsidRPr="009500C4">
        <w:rPr>
          <w:rFonts w:ascii="Times New Roman" w:hAnsi="Times New Roman" w:cs="Times New Roman"/>
          <w:sz w:val="24"/>
          <w:szCs w:val="24"/>
        </w:rPr>
        <w:t>одат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9500C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A142580" w14:textId="77777777" w:rsidR="00DD0D1C" w:rsidRPr="009500C4" w:rsidRDefault="00DD0D1C" w:rsidP="00DD0D1C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9500C4">
        <w:rPr>
          <w:rFonts w:ascii="Times New Roman" w:hAnsi="Times New Roman" w:cs="Times New Roman"/>
          <w:sz w:val="24"/>
          <w:szCs w:val="24"/>
        </w:rPr>
        <w:t>до реєстраційного посвідчення AB-03350-01-12</w:t>
      </w:r>
    </w:p>
    <w:p w14:paraId="2448B3AA" w14:textId="77777777" w:rsidR="00DD0D1C" w:rsidRDefault="00DD0D1C" w:rsidP="00DD0D1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6D47F6AB" w14:textId="77777777" w:rsidR="00DD0D1C" w:rsidRDefault="00DD0D1C" w:rsidP="00DD0D1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0E179152" w14:textId="5770FA8C" w:rsidR="00DD0D1C" w:rsidRPr="000965C9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6.2 Термін придатності</w:t>
      </w:r>
    </w:p>
    <w:p w14:paraId="1A59A774" w14:textId="392EBE6C" w:rsid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Один рік.</w:t>
      </w:r>
    </w:p>
    <w:p w14:paraId="08E3F7B0" w14:textId="77777777" w:rsidR="00DD0D1C" w:rsidRPr="000965C9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6.3 Особливі заходи зберігання</w:t>
      </w:r>
    </w:p>
    <w:p w14:paraId="2CA1C439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В оригінальному пакуванні, у сухому, захищеному від світла місці за температури від 5 до 15℃.</w:t>
      </w:r>
    </w:p>
    <w:p w14:paraId="54F19BC4" w14:textId="77777777" w:rsidR="00DD0D1C" w:rsidRPr="000965C9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6.4 Природа і склад контейнера первинного пакування</w:t>
      </w:r>
    </w:p>
    <w:p w14:paraId="53F19EF8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Флакони із скла, що закриті гумовими корками під алюмінієву обкатку, або флакони</w:t>
      </w:r>
    </w:p>
    <w:p w14:paraId="776C7817" w14:textId="77777777" w:rsidR="00DD0D1C" w:rsidRPr="00DD0D1C" w:rsidRDefault="00DD0D1C" w:rsidP="00DD0D1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полімерні по 50, 100 та 1000 мл.</w:t>
      </w:r>
    </w:p>
    <w:p w14:paraId="17480F0E" w14:textId="77777777" w:rsidR="00DD0D1C" w:rsidRPr="000965C9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6.5 Особливі заходи безпеки при поводженні з невикористаним препаратом або із його</w:t>
      </w:r>
    </w:p>
    <w:p w14:paraId="427659F0" w14:textId="77777777" w:rsidR="00DD0D1C" w:rsidRPr="00DD0D1C" w:rsidRDefault="00DD0D1C" w:rsidP="00DD0D1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залишками</w:t>
      </w:r>
    </w:p>
    <w:p w14:paraId="51651B76" w14:textId="77777777" w:rsidR="00DD0D1C" w:rsidRPr="00DD0D1C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Невикористаний препарат або його залишки мають бути утилізовані відповідно до чинних</w:t>
      </w:r>
    </w:p>
    <w:p w14:paraId="2EDB5E73" w14:textId="77777777" w:rsidR="00DD0D1C" w:rsidRPr="00DD0D1C" w:rsidRDefault="00DD0D1C" w:rsidP="00DD0D1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D0D1C">
        <w:rPr>
          <w:rFonts w:ascii="Times New Roman" w:hAnsi="Times New Roman" w:cs="Times New Roman"/>
          <w:sz w:val="24"/>
          <w:szCs w:val="24"/>
        </w:rPr>
        <w:t>національних вимог.</w:t>
      </w:r>
    </w:p>
    <w:p w14:paraId="30C340CA" w14:textId="77777777" w:rsidR="00DD0D1C" w:rsidRPr="000965C9" w:rsidRDefault="00DD0D1C" w:rsidP="000965C9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7. Назва і місце знаходження власника реєстраційного посвідчення</w:t>
      </w:r>
    </w:p>
    <w:p w14:paraId="43FE9794" w14:textId="77777777" w:rsidR="00B25BB2" w:rsidRPr="00B25BB2" w:rsidRDefault="00B25BB2" w:rsidP="00B25BB2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B25BB2">
        <w:rPr>
          <w:rFonts w:ascii="Times New Roman" w:hAnsi="Times New Roman" w:cs="Times New Roman"/>
          <w:sz w:val="24"/>
          <w:szCs w:val="24"/>
        </w:rPr>
        <w:t>ТОВ ВФ "Базальт" (Україна)</w:t>
      </w:r>
    </w:p>
    <w:p w14:paraId="45271F68" w14:textId="77777777" w:rsidR="00B25BB2" w:rsidRDefault="00B25BB2" w:rsidP="00B25BB2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BB2">
        <w:rPr>
          <w:rFonts w:ascii="Times New Roman" w:hAnsi="Times New Roman" w:cs="Times New Roman"/>
          <w:sz w:val="24"/>
          <w:szCs w:val="24"/>
        </w:rPr>
        <w:t xml:space="preserve">61010, Харківська обл., місто Харків, вул. </w:t>
      </w:r>
      <w:proofErr w:type="spellStart"/>
      <w:r w:rsidRPr="00B25BB2">
        <w:rPr>
          <w:rFonts w:ascii="Times New Roman" w:hAnsi="Times New Roman" w:cs="Times New Roman"/>
          <w:sz w:val="24"/>
          <w:szCs w:val="24"/>
        </w:rPr>
        <w:t>Лисаветинська</w:t>
      </w:r>
      <w:proofErr w:type="spellEnd"/>
      <w:r w:rsidRPr="00B25BB2">
        <w:rPr>
          <w:rFonts w:ascii="Times New Roman" w:hAnsi="Times New Roman" w:cs="Times New Roman"/>
          <w:sz w:val="24"/>
          <w:szCs w:val="24"/>
        </w:rPr>
        <w:t>, будинок 5б, квартира 32</w:t>
      </w:r>
    </w:p>
    <w:p w14:paraId="08D636D4" w14:textId="4C070A68" w:rsidR="00DD0D1C" w:rsidRPr="000965C9" w:rsidRDefault="00DD0D1C" w:rsidP="00B25BB2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8. Назва і місце знаходження виробників</w:t>
      </w:r>
    </w:p>
    <w:p w14:paraId="22B72D6F" w14:textId="77777777" w:rsidR="00B25BB2" w:rsidRPr="00B25BB2" w:rsidRDefault="00B25BB2" w:rsidP="00B25BB2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B25BB2">
        <w:rPr>
          <w:rFonts w:ascii="Times New Roman" w:hAnsi="Times New Roman" w:cs="Times New Roman"/>
          <w:sz w:val="24"/>
          <w:szCs w:val="24"/>
        </w:rPr>
        <w:t>ТОВ ВФ "Базальт" (Україна)</w:t>
      </w:r>
    </w:p>
    <w:p w14:paraId="1A34B112" w14:textId="77777777" w:rsidR="00B25BB2" w:rsidRDefault="00B25BB2" w:rsidP="00B25BB2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BB2">
        <w:rPr>
          <w:rFonts w:ascii="Times New Roman" w:hAnsi="Times New Roman" w:cs="Times New Roman"/>
          <w:sz w:val="24"/>
          <w:szCs w:val="24"/>
        </w:rPr>
        <w:t xml:space="preserve">61010, Харківська обл., місто Харків, вул. </w:t>
      </w:r>
      <w:proofErr w:type="spellStart"/>
      <w:r w:rsidRPr="00B25BB2">
        <w:rPr>
          <w:rFonts w:ascii="Times New Roman" w:hAnsi="Times New Roman" w:cs="Times New Roman"/>
          <w:sz w:val="24"/>
          <w:szCs w:val="24"/>
        </w:rPr>
        <w:t>Лисаветинська</w:t>
      </w:r>
      <w:proofErr w:type="spellEnd"/>
      <w:r w:rsidRPr="00B25BB2">
        <w:rPr>
          <w:rFonts w:ascii="Times New Roman" w:hAnsi="Times New Roman" w:cs="Times New Roman"/>
          <w:sz w:val="24"/>
          <w:szCs w:val="24"/>
        </w:rPr>
        <w:t>, будинок 5б, квартира 32</w:t>
      </w:r>
    </w:p>
    <w:p w14:paraId="2A619A86" w14:textId="6D16AE96" w:rsidR="00DD0D1C" w:rsidRPr="000965C9" w:rsidRDefault="00DD0D1C" w:rsidP="00B25BB2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C9">
        <w:rPr>
          <w:rFonts w:ascii="Times New Roman" w:hAnsi="Times New Roman" w:cs="Times New Roman"/>
          <w:b/>
          <w:bCs/>
          <w:sz w:val="24"/>
          <w:szCs w:val="24"/>
        </w:rPr>
        <w:t>9. Додаткова інформація</w:t>
      </w:r>
    </w:p>
    <w:sectPr w:rsidR="00DD0D1C" w:rsidRPr="000965C9" w:rsidSect="009500C4">
      <w:pgSz w:w="11906" w:h="16838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9B"/>
    <w:rsid w:val="000965C9"/>
    <w:rsid w:val="00180388"/>
    <w:rsid w:val="002005A0"/>
    <w:rsid w:val="00233EAE"/>
    <w:rsid w:val="00260374"/>
    <w:rsid w:val="0064269B"/>
    <w:rsid w:val="007A0A85"/>
    <w:rsid w:val="0085096B"/>
    <w:rsid w:val="009500C4"/>
    <w:rsid w:val="00B25BB2"/>
    <w:rsid w:val="00DD0D1C"/>
    <w:rsid w:val="00EC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AB75"/>
  <w15:chartTrackingRefBased/>
  <w15:docId w15:val="{B9CB3C53-463F-4CE9-A5FB-91022E63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26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26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26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2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26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269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500C4"/>
    <w:pPr>
      <w:spacing w:after="0" w:line="240" w:lineRule="auto"/>
    </w:pPr>
  </w:style>
  <w:style w:type="table" w:styleId="ad">
    <w:name w:val="Table Grid"/>
    <w:basedOn w:val="a1"/>
    <w:uiPriority w:val="39"/>
    <w:rsid w:val="00EC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3938</Words>
  <Characters>2245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Шевченко</dc:creator>
  <cp:keywords/>
  <dc:description/>
  <cp:lastModifiedBy>Алексей Шевченко</cp:lastModifiedBy>
  <cp:revision>5</cp:revision>
  <dcterms:created xsi:type="dcterms:W3CDTF">2026-04-11T09:04:00Z</dcterms:created>
  <dcterms:modified xsi:type="dcterms:W3CDTF">2026-04-11T15:51:00Z</dcterms:modified>
</cp:coreProperties>
</file>