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6E694" w14:textId="77777777" w:rsidR="00C43794" w:rsidRPr="00BF441B" w:rsidRDefault="00C43794" w:rsidP="00C43794">
      <w:pPr>
        <w:jc w:val="right"/>
        <w:rPr>
          <w:lang w:val="uk-UA" w:eastAsia="en-US"/>
        </w:rPr>
      </w:pPr>
      <w:r w:rsidRPr="00BF441B">
        <w:rPr>
          <w:lang w:val="uk-UA" w:eastAsia="en-US"/>
        </w:rPr>
        <w:t>Додаток 1</w:t>
      </w:r>
    </w:p>
    <w:p w14:paraId="3B38851F" w14:textId="77777777" w:rsidR="00C43794" w:rsidRPr="00BF441B" w:rsidRDefault="00C43794" w:rsidP="00C43794">
      <w:pPr>
        <w:jc w:val="right"/>
        <w:rPr>
          <w:lang w:val="uk-UA" w:eastAsia="en-US"/>
        </w:rPr>
      </w:pPr>
      <w:r w:rsidRPr="00BF441B">
        <w:rPr>
          <w:lang w:val="uk-UA" w:eastAsia="en-US"/>
        </w:rPr>
        <w:t>до реєстраційного посвідчення</w:t>
      </w:r>
    </w:p>
    <w:p w14:paraId="0257C970" w14:textId="77777777" w:rsidR="00C43794" w:rsidRPr="00BF441B" w:rsidRDefault="00C43794" w:rsidP="00A24AF9">
      <w:pPr>
        <w:jc w:val="center"/>
        <w:rPr>
          <w:b/>
          <w:lang w:val="uk-UA"/>
        </w:rPr>
      </w:pPr>
    </w:p>
    <w:p w14:paraId="7CD772A0" w14:textId="77777777" w:rsidR="000E1877" w:rsidRPr="00BF441B" w:rsidRDefault="000E1877" w:rsidP="00A24AF9">
      <w:pPr>
        <w:jc w:val="center"/>
        <w:rPr>
          <w:b/>
          <w:lang w:val="uk-UA"/>
        </w:rPr>
      </w:pPr>
      <w:bookmarkStart w:id="0" w:name="_GoBack"/>
      <w:bookmarkEnd w:id="0"/>
      <w:r w:rsidRPr="00BF441B">
        <w:rPr>
          <w:b/>
          <w:lang w:val="uk-UA"/>
        </w:rPr>
        <w:t>Коротка характеристика препарату</w:t>
      </w:r>
    </w:p>
    <w:p w14:paraId="70555305" w14:textId="77777777" w:rsidR="00C43794" w:rsidRPr="00BF441B" w:rsidRDefault="00C43794" w:rsidP="00D2393A">
      <w:pPr>
        <w:tabs>
          <w:tab w:val="left" w:pos="567"/>
          <w:tab w:val="left" w:pos="2148"/>
        </w:tabs>
        <w:rPr>
          <w:b/>
          <w:lang w:val="uk-UA"/>
        </w:rPr>
      </w:pPr>
    </w:p>
    <w:p w14:paraId="145ED125" w14:textId="77777777" w:rsidR="001762C8" w:rsidRPr="00BF441B" w:rsidRDefault="00D2393A" w:rsidP="00D2393A">
      <w:pPr>
        <w:tabs>
          <w:tab w:val="left" w:pos="567"/>
          <w:tab w:val="left" w:pos="2148"/>
        </w:tabs>
        <w:rPr>
          <w:b/>
          <w:lang w:val="uk-UA"/>
        </w:rPr>
      </w:pPr>
      <w:r w:rsidRPr="00BF441B">
        <w:rPr>
          <w:b/>
          <w:lang w:val="uk-UA"/>
        </w:rPr>
        <w:tab/>
      </w:r>
      <w:r w:rsidR="00A24AF9" w:rsidRPr="00BF441B">
        <w:rPr>
          <w:b/>
          <w:lang w:val="uk-UA"/>
        </w:rPr>
        <w:t xml:space="preserve">1. </w:t>
      </w:r>
      <w:r w:rsidR="00A24AF9" w:rsidRPr="00BF441B">
        <w:rPr>
          <w:b/>
        </w:rPr>
        <w:t>Назва</w:t>
      </w:r>
    </w:p>
    <w:p w14:paraId="148A2254" w14:textId="77777777" w:rsidR="00FE221D" w:rsidRPr="00BF441B" w:rsidRDefault="00D2393A" w:rsidP="00FE221D">
      <w:pPr>
        <w:rPr>
          <w:lang w:val="uk-UA"/>
        </w:rPr>
      </w:pPr>
      <w:r w:rsidRPr="00BF441B">
        <w:rPr>
          <w:b/>
          <w:lang w:val="uk-UA"/>
        </w:rPr>
        <w:tab/>
      </w:r>
      <w:r w:rsidR="001A09C6" w:rsidRPr="00BF441B">
        <w:rPr>
          <w:lang w:val="uk-UA"/>
        </w:rPr>
        <w:t xml:space="preserve">РОБЕНОР </w:t>
      </w:r>
      <w:r w:rsidR="00715085" w:rsidRPr="00BF441B">
        <w:rPr>
          <w:lang w:val="uk-UA"/>
        </w:rPr>
        <w:t xml:space="preserve">для </w:t>
      </w:r>
      <w:r w:rsidR="00E41886" w:rsidRPr="00BF441B">
        <w:rPr>
          <w:lang w:val="uk-UA"/>
        </w:rPr>
        <w:t>с</w:t>
      </w:r>
      <w:r w:rsidR="00715085" w:rsidRPr="00BF441B">
        <w:rPr>
          <w:lang w:val="uk-UA"/>
        </w:rPr>
        <w:t>о</w:t>
      </w:r>
      <w:r w:rsidR="00E41886" w:rsidRPr="00BF441B">
        <w:rPr>
          <w:lang w:val="uk-UA"/>
        </w:rPr>
        <w:t>бак</w:t>
      </w:r>
      <w:r w:rsidR="004349AD" w:rsidRPr="00BF441B">
        <w:rPr>
          <w:lang w:val="uk-UA"/>
        </w:rPr>
        <w:t xml:space="preserve"> </w:t>
      </w:r>
    </w:p>
    <w:p w14:paraId="1253B89A" w14:textId="77777777" w:rsidR="00A24AF9" w:rsidRPr="00BF441B" w:rsidRDefault="00D2393A" w:rsidP="00D2393A">
      <w:pPr>
        <w:tabs>
          <w:tab w:val="left" w:pos="567"/>
        </w:tabs>
        <w:rPr>
          <w:b/>
          <w:snapToGrid w:val="0"/>
          <w:lang w:val="uk-UA"/>
        </w:rPr>
      </w:pPr>
      <w:r w:rsidRPr="00BF441B">
        <w:rPr>
          <w:b/>
          <w:snapToGrid w:val="0"/>
          <w:lang w:val="uk-UA"/>
        </w:rPr>
        <w:tab/>
      </w:r>
      <w:r w:rsidR="00A24AF9" w:rsidRPr="00BF441B">
        <w:rPr>
          <w:b/>
          <w:snapToGrid w:val="0"/>
        </w:rPr>
        <w:t xml:space="preserve">2. </w:t>
      </w:r>
      <w:r w:rsidR="001762C8" w:rsidRPr="00BF441B">
        <w:rPr>
          <w:b/>
          <w:snapToGrid w:val="0"/>
          <w:lang w:val="uk-UA"/>
        </w:rPr>
        <w:t>С</w:t>
      </w:r>
      <w:r w:rsidR="00A24AF9" w:rsidRPr="00BF441B">
        <w:rPr>
          <w:b/>
          <w:snapToGrid w:val="0"/>
        </w:rPr>
        <w:t>клад</w:t>
      </w:r>
    </w:p>
    <w:p w14:paraId="30DD9562" w14:textId="77777777" w:rsidR="00E41886" w:rsidRPr="00BF441B" w:rsidRDefault="00E41886" w:rsidP="00E41886">
      <w:pPr>
        <w:ind w:firstLine="567"/>
        <w:rPr>
          <w:bCs/>
          <w:snapToGrid w:val="0"/>
        </w:rPr>
      </w:pPr>
      <w:r w:rsidRPr="00BF441B">
        <w:rPr>
          <w:bCs/>
          <w:snapToGrid w:val="0"/>
          <w:lang w:val="uk-UA"/>
        </w:rPr>
        <w:t>1</w:t>
      </w:r>
      <w:r w:rsidR="00C43794" w:rsidRPr="00BF441B">
        <w:rPr>
          <w:bCs/>
          <w:snapToGrid w:val="0"/>
          <w:lang w:val="uk-UA"/>
        </w:rPr>
        <w:t xml:space="preserve"> г препарату місти</w:t>
      </w:r>
      <w:r w:rsidRPr="00BF441B">
        <w:rPr>
          <w:bCs/>
          <w:snapToGrid w:val="0"/>
          <w:lang w:val="uk-UA"/>
        </w:rPr>
        <w:t>ть діючу речовину:</w:t>
      </w:r>
    </w:p>
    <w:p w14:paraId="3FB8953C" w14:textId="532C5265" w:rsidR="00E41886" w:rsidRPr="00BF441B" w:rsidRDefault="00E41886" w:rsidP="00E41886">
      <w:pPr>
        <w:ind w:firstLine="567"/>
        <w:rPr>
          <w:bCs/>
          <w:snapToGrid w:val="0"/>
          <w:lang w:val="uk-UA"/>
        </w:rPr>
      </w:pPr>
      <w:r w:rsidRPr="00BF441B">
        <w:rPr>
          <w:bCs/>
          <w:snapToGrid w:val="0"/>
          <w:lang w:val="uk-UA"/>
        </w:rPr>
        <w:t>р</w:t>
      </w:r>
      <w:r w:rsidR="00B1734B" w:rsidRPr="00BF441B">
        <w:rPr>
          <w:bCs/>
          <w:snapToGrid w:val="0"/>
        </w:rPr>
        <w:t>обенакоксиб</w:t>
      </w:r>
      <w:r w:rsidRPr="00BF441B">
        <w:rPr>
          <w:bCs/>
          <w:snapToGrid w:val="0"/>
          <w:lang w:val="uk-UA"/>
        </w:rPr>
        <w:t xml:space="preserve"> – 62,5 мг.</w:t>
      </w:r>
    </w:p>
    <w:p w14:paraId="27420753" w14:textId="77777777" w:rsidR="00E41886" w:rsidRPr="00BF441B" w:rsidRDefault="00E41886" w:rsidP="00CD2617">
      <w:pPr>
        <w:jc w:val="both"/>
        <w:rPr>
          <w:lang w:val="uk-UA"/>
        </w:rPr>
      </w:pPr>
      <w:r w:rsidRPr="00BF441B">
        <w:rPr>
          <w:lang w:val="uk-UA"/>
        </w:rPr>
        <w:tab/>
        <w:t xml:space="preserve">Допоміжні речовини: </w:t>
      </w:r>
      <w:r w:rsidR="00683D28" w:rsidRPr="00BF441B">
        <w:rPr>
          <w:lang w:val="uk-UA" w:eastAsia="en-US"/>
        </w:rPr>
        <w:t>лактози моногідрат, целюлоза мікрокристалічна, кальцію стеарат, полівінілпіролідон, кремнію діоксид</w:t>
      </w:r>
      <w:r w:rsidRPr="00BF441B">
        <w:rPr>
          <w:lang w:val="uk-UA"/>
        </w:rPr>
        <w:t>.</w:t>
      </w:r>
    </w:p>
    <w:p w14:paraId="2B1FBD8A" w14:textId="77777777" w:rsidR="00B00C1D" w:rsidRPr="00BF441B" w:rsidRDefault="00B00C1D" w:rsidP="00B00C1D">
      <w:pPr>
        <w:ind w:firstLine="567"/>
        <w:jc w:val="both"/>
        <w:rPr>
          <w:lang w:val="uk-UA"/>
        </w:rPr>
      </w:pPr>
      <w:r w:rsidRPr="00BF441B">
        <w:rPr>
          <w:lang w:val="uk-UA"/>
        </w:rPr>
        <w:t>РОБЕНОР для собак випускають у трьох дозуваннях:</w:t>
      </w:r>
    </w:p>
    <w:p w14:paraId="7BB72E6C" w14:textId="77777777" w:rsidR="00B00C1D" w:rsidRPr="00BF441B" w:rsidRDefault="00B00C1D" w:rsidP="00B00C1D">
      <w:pPr>
        <w:ind w:firstLine="567"/>
        <w:jc w:val="both"/>
        <w:rPr>
          <w:lang w:val="uk-UA"/>
        </w:rPr>
      </w:pPr>
      <w:r w:rsidRPr="00BF441B">
        <w:rPr>
          <w:lang w:val="uk-UA"/>
        </w:rPr>
        <w:t>таблетка масою 1</w:t>
      </w:r>
      <w:r w:rsidRPr="00BF441B">
        <w:t>6</w:t>
      </w:r>
      <w:r w:rsidRPr="00BF441B">
        <w:rPr>
          <w:lang w:val="uk-UA"/>
        </w:rPr>
        <w:t>0 мг (містить робенакоксиб - 10 мг);</w:t>
      </w:r>
    </w:p>
    <w:p w14:paraId="3D7CD687" w14:textId="77777777" w:rsidR="00B00C1D" w:rsidRPr="00BF441B" w:rsidRDefault="00B00C1D" w:rsidP="00B00C1D">
      <w:pPr>
        <w:ind w:firstLine="567"/>
        <w:jc w:val="both"/>
        <w:rPr>
          <w:lang w:val="uk-UA"/>
        </w:rPr>
      </w:pPr>
      <w:r w:rsidRPr="00BF441B">
        <w:rPr>
          <w:lang w:val="uk-UA"/>
        </w:rPr>
        <w:t>таблетка масою 320 мг (містить робенакоксиб - 20 мг);</w:t>
      </w:r>
    </w:p>
    <w:p w14:paraId="793EC518" w14:textId="77777777" w:rsidR="00B00C1D" w:rsidRPr="00BF441B" w:rsidRDefault="00B00C1D" w:rsidP="00B00C1D">
      <w:pPr>
        <w:ind w:firstLine="567"/>
        <w:jc w:val="both"/>
        <w:rPr>
          <w:lang w:val="uk-UA"/>
        </w:rPr>
      </w:pPr>
      <w:r w:rsidRPr="00BF441B">
        <w:rPr>
          <w:lang w:val="uk-UA"/>
        </w:rPr>
        <w:t xml:space="preserve">таблетка масою </w:t>
      </w:r>
      <w:r w:rsidRPr="00BF441B">
        <w:t>640</w:t>
      </w:r>
      <w:r w:rsidRPr="00BF441B">
        <w:rPr>
          <w:lang w:val="uk-UA"/>
        </w:rPr>
        <w:t xml:space="preserve"> мг (містить робенакоксиб - 40 мг).</w:t>
      </w:r>
    </w:p>
    <w:p w14:paraId="781C1191" w14:textId="77777777" w:rsidR="00D2393A" w:rsidRPr="00BF441B" w:rsidRDefault="00D2393A" w:rsidP="00E41886">
      <w:pPr>
        <w:rPr>
          <w:b/>
          <w:snapToGrid w:val="0"/>
          <w:lang w:val="uk-UA"/>
        </w:rPr>
      </w:pPr>
      <w:r w:rsidRPr="00BF441B">
        <w:rPr>
          <w:b/>
          <w:snapToGrid w:val="0"/>
          <w:lang w:val="uk-UA"/>
        </w:rPr>
        <w:tab/>
      </w:r>
      <w:r w:rsidR="00A24AF9" w:rsidRPr="00BF441B">
        <w:rPr>
          <w:b/>
          <w:snapToGrid w:val="0"/>
        </w:rPr>
        <w:t>3. Фармацевтична (лікарська) форма</w:t>
      </w:r>
    </w:p>
    <w:p w14:paraId="67DADE96" w14:textId="77777777" w:rsidR="00715085" w:rsidRPr="00BF441B" w:rsidRDefault="00D2393A" w:rsidP="00D2393A">
      <w:pPr>
        <w:tabs>
          <w:tab w:val="left" w:pos="567"/>
        </w:tabs>
        <w:spacing w:before="40"/>
        <w:rPr>
          <w:b/>
          <w:snapToGrid w:val="0"/>
        </w:rPr>
      </w:pPr>
      <w:r w:rsidRPr="00BF441B">
        <w:rPr>
          <w:b/>
          <w:snapToGrid w:val="0"/>
          <w:lang w:val="uk-UA"/>
        </w:rPr>
        <w:tab/>
      </w:r>
      <w:r w:rsidR="00715085" w:rsidRPr="00BF441B">
        <w:rPr>
          <w:bCs/>
          <w:lang w:val="uk-UA"/>
        </w:rPr>
        <w:t>Т</w:t>
      </w:r>
      <w:r w:rsidR="00715085" w:rsidRPr="00BF441B">
        <w:rPr>
          <w:bCs/>
        </w:rPr>
        <w:t>аблетки</w:t>
      </w:r>
      <w:r w:rsidR="00B62B5B" w:rsidRPr="00BF441B">
        <w:rPr>
          <w:bCs/>
          <w:lang w:val="uk-UA"/>
        </w:rPr>
        <w:t>.</w:t>
      </w:r>
      <w:r w:rsidR="00715085" w:rsidRPr="00BF441B">
        <w:rPr>
          <w:bCs/>
        </w:rPr>
        <w:t xml:space="preserve"> </w:t>
      </w:r>
    </w:p>
    <w:p w14:paraId="529A0485" w14:textId="77777777" w:rsidR="00A24AF9" w:rsidRPr="00BF441B" w:rsidRDefault="00715085" w:rsidP="00D2393A">
      <w:pPr>
        <w:tabs>
          <w:tab w:val="left" w:pos="567"/>
        </w:tabs>
        <w:spacing w:before="40"/>
        <w:rPr>
          <w:b/>
          <w:snapToGrid w:val="0"/>
          <w:lang w:val="uk-UA"/>
        </w:rPr>
      </w:pPr>
      <w:r w:rsidRPr="00BF441B">
        <w:rPr>
          <w:b/>
          <w:snapToGrid w:val="0"/>
        </w:rPr>
        <w:tab/>
      </w:r>
      <w:r w:rsidR="00A24AF9" w:rsidRPr="00BF441B">
        <w:rPr>
          <w:b/>
          <w:snapToGrid w:val="0"/>
          <w:lang w:val="uk-UA"/>
        </w:rPr>
        <w:t>4. Фармакологічн</w:t>
      </w:r>
      <w:r w:rsidR="00130E51" w:rsidRPr="00BF441B">
        <w:rPr>
          <w:b/>
          <w:snapToGrid w:val="0"/>
          <w:lang w:val="uk-UA"/>
        </w:rPr>
        <w:t>і</w:t>
      </w:r>
      <w:r w:rsidR="00A24AF9" w:rsidRPr="00BF441B">
        <w:rPr>
          <w:b/>
          <w:snapToGrid w:val="0"/>
          <w:lang w:val="uk-UA"/>
        </w:rPr>
        <w:t xml:space="preserve"> </w:t>
      </w:r>
      <w:r w:rsidR="00130E51" w:rsidRPr="00BF441B">
        <w:rPr>
          <w:b/>
          <w:snapToGrid w:val="0"/>
          <w:lang w:val="uk-UA"/>
        </w:rPr>
        <w:t>властивості</w:t>
      </w:r>
    </w:p>
    <w:p w14:paraId="192DE667" w14:textId="77777777" w:rsidR="00D04DA1" w:rsidRPr="00BF441B" w:rsidRDefault="00E41886" w:rsidP="00D04DA1">
      <w:pPr>
        <w:jc w:val="both"/>
        <w:rPr>
          <w:b/>
          <w:i/>
          <w:lang w:val="uk-UA"/>
        </w:rPr>
      </w:pPr>
      <w:r w:rsidRPr="00BF441B">
        <w:rPr>
          <w:b/>
          <w:bCs/>
          <w:i/>
          <w:iCs/>
          <w:snapToGrid w:val="0"/>
          <w:lang w:val="uk-UA"/>
        </w:rPr>
        <w:tab/>
      </w:r>
      <w:bookmarkStart w:id="1" w:name="_Hlk193995928"/>
      <w:r w:rsidR="00D04DA1" w:rsidRPr="00BF441B">
        <w:rPr>
          <w:b/>
          <w:i/>
          <w:iCs/>
          <w:snapToGrid w:val="0"/>
          <w:lang w:val="en-US"/>
        </w:rPr>
        <w:t>ATC</w:t>
      </w:r>
      <w:r w:rsidR="00D04DA1" w:rsidRPr="00BF441B">
        <w:rPr>
          <w:b/>
          <w:i/>
          <w:iCs/>
          <w:snapToGrid w:val="0"/>
          <w:lang w:val="uk-UA"/>
        </w:rPr>
        <w:t>-</w:t>
      </w:r>
      <w:r w:rsidR="00D04DA1" w:rsidRPr="00BF441B">
        <w:rPr>
          <w:b/>
          <w:i/>
          <w:iCs/>
          <w:snapToGrid w:val="0"/>
          <w:lang w:val="en-US"/>
        </w:rPr>
        <w:t>vet</w:t>
      </w:r>
      <w:r w:rsidR="00D04DA1" w:rsidRPr="00BF441B">
        <w:rPr>
          <w:b/>
          <w:i/>
          <w:iCs/>
          <w:snapToGrid w:val="0"/>
          <w:lang w:val="uk-UA"/>
        </w:rPr>
        <w:t xml:space="preserve"> класифікаційний код: </w:t>
      </w:r>
      <w:r w:rsidR="00D04DA1" w:rsidRPr="00BF441B">
        <w:rPr>
          <w:b/>
          <w:i/>
          <w:lang w:val="en-US"/>
        </w:rPr>
        <w:t>QM</w:t>
      </w:r>
      <w:r w:rsidR="00D04DA1" w:rsidRPr="00BF441B">
        <w:rPr>
          <w:b/>
          <w:i/>
          <w:lang w:val="uk-UA"/>
        </w:rPr>
        <w:t xml:space="preserve">01 </w:t>
      </w:r>
      <w:bookmarkStart w:id="2" w:name="_Hlk192932382"/>
      <w:r w:rsidR="00D04DA1" w:rsidRPr="00BF441B">
        <w:rPr>
          <w:b/>
          <w:i/>
          <w:lang w:val="uk-UA"/>
        </w:rPr>
        <w:t>– протизапальні та протиревматичні засоби, нестероїдні</w:t>
      </w:r>
      <w:bookmarkEnd w:id="2"/>
      <w:r w:rsidR="00D04DA1" w:rsidRPr="00BF441B">
        <w:rPr>
          <w:b/>
          <w:i/>
          <w:lang w:val="uk-UA"/>
        </w:rPr>
        <w:t xml:space="preserve">.  </w:t>
      </w:r>
      <w:r w:rsidR="00D04DA1" w:rsidRPr="00BF441B">
        <w:rPr>
          <w:b/>
          <w:i/>
          <w:lang w:val="en-US"/>
        </w:rPr>
        <w:t>QM</w:t>
      </w:r>
      <w:r w:rsidR="00D04DA1" w:rsidRPr="00BF441B">
        <w:rPr>
          <w:b/>
          <w:i/>
          <w:lang w:val="uk-UA"/>
        </w:rPr>
        <w:t>01</w:t>
      </w:r>
      <w:r w:rsidR="00D04DA1" w:rsidRPr="00BF441B">
        <w:rPr>
          <w:b/>
          <w:i/>
          <w:lang w:val="en-US"/>
        </w:rPr>
        <w:t>AH</w:t>
      </w:r>
      <w:r w:rsidR="00D04DA1" w:rsidRPr="00BF441B">
        <w:rPr>
          <w:b/>
          <w:i/>
          <w:lang w:val="uk-UA"/>
        </w:rPr>
        <w:t xml:space="preserve"> – коксиби.  </w:t>
      </w:r>
      <w:r w:rsidR="00D04DA1" w:rsidRPr="00BF441B">
        <w:rPr>
          <w:b/>
          <w:i/>
          <w:lang w:val="en-US"/>
        </w:rPr>
        <w:t>QM</w:t>
      </w:r>
      <w:r w:rsidR="00D04DA1" w:rsidRPr="00BF441B">
        <w:rPr>
          <w:b/>
          <w:i/>
          <w:lang w:val="uk-UA"/>
        </w:rPr>
        <w:t>01</w:t>
      </w:r>
      <w:r w:rsidR="00D04DA1" w:rsidRPr="00BF441B">
        <w:rPr>
          <w:b/>
          <w:i/>
          <w:lang w:val="en-US"/>
        </w:rPr>
        <w:t>AH</w:t>
      </w:r>
      <w:r w:rsidR="00D04DA1" w:rsidRPr="00BF441B">
        <w:rPr>
          <w:b/>
          <w:i/>
          <w:lang w:val="uk-UA"/>
        </w:rPr>
        <w:t>91 – робенакоксиб.</w:t>
      </w:r>
    </w:p>
    <w:p w14:paraId="10ECB2FF" w14:textId="77777777" w:rsidR="00D04DA1" w:rsidRPr="00BF441B" w:rsidRDefault="00D04DA1" w:rsidP="00D04DA1">
      <w:pPr>
        <w:tabs>
          <w:tab w:val="left" w:pos="0"/>
        </w:tabs>
        <w:ind w:hanging="567"/>
        <w:jc w:val="both"/>
        <w:rPr>
          <w:lang w:val="uk-UA"/>
        </w:rPr>
      </w:pPr>
      <w:r w:rsidRPr="00BF441B">
        <w:rPr>
          <w:lang w:val="uk-UA"/>
        </w:rPr>
        <w:tab/>
      </w:r>
      <w:r w:rsidRPr="00BF441B">
        <w:rPr>
          <w:lang w:val="uk-UA"/>
        </w:rPr>
        <w:tab/>
        <w:t>Робенакоксиб – нестероїдний протизапальний засіб (НПЗЗ) класу коксибів, потужний та селективний інгібітор ферменту циклооксигенази 2 (ЦОГ-2). Фермент циклооксигеназа (ЦОГ) представлений у двох формах. ЦОГ-1 є конститутивною формою ферменту і відповідає за синтез простагландинів, що виконують захисні функції, наприклад, у травному каналі та нирках. ЦОГ-2 є індукованою формою ферменту та відповідає за виробництво медіаторів, включаючи простагландини, що спричиняють біль, запалення або лихоманку.</w:t>
      </w:r>
    </w:p>
    <w:p w14:paraId="639B8F3E" w14:textId="77777777" w:rsidR="00D04DA1" w:rsidRPr="00BF441B" w:rsidRDefault="00D04DA1" w:rsidP="00D04DA1">
      <w:pPr>
        <w:jc w:val="both"/>
      </w:pPr>
      <w:r w:rsidRPr="00BF441B">
        <w:rPr>
          <w:lang w:val="uk-UA"/>
        </w:rPr>
        <w:tab/>
        <w:t xml:space="preserve">У </w:t>
      </w:r>
      <w:r w:rsidRPr="00BF441B">
        <w:rPr>
          <w:i/>
          <w:iCs/>
        </w:rPr>
        <w:t>in</w:t>
      </w:r>
      <w:r w:rsidRPr="00BF441B">
        <w:rPr>
          <w:i/>
          <w:iCs/>
          <w:lang w:val="uk-UA"/>
        </w:rPr>
        <w:t xml:space="preserve"> </w:t>
      </w:r>
      <w:r w:rsidRPr="00BF441B">
        <w:rPr>
          <w:i/>
          <w:iCs/>
        </w:rPr>
        <w:t>vitro</w:t>
      </w:r>
      <w:r w:rsidRPr="00BF441B">
        <w:rPr>
          <w:lang w:val="uk-UA"/>
        </w:rPr>
        <w:t xml:space="preserve"> аналізі цільної крові собак, селективність робенакоксибу була приблизно в 140 разів вищою щодо ЦОГ-2 (</w:t>
      </w:r>
      <w:r w:rsidRPr="00BF441B">
        <w:t>IC</w:t>
      </w:r>
      <w:r w:rsidRPr="00BF441B">
        <w:rPr>
          <w:vertAlign w:val="subscript"/>
          <w:lang w:val="uk-UA"/>
        </w:rPr>
        <w:t>50</w:t>
      </w:r>
      <w:r w:rsidRPr="00BF441B">
        <w:rPr>
          <w:lang w:val="uk-UA"/>
        </w:rPr>
        <w:t xml:space="preserve"> 0,04 мкМ) порівняно з ЦОГ-1 (</w:t>
      </w:r>
      <w:r w:rsidRPr="00BF441B">
        <w:t>IC</w:t>
      </w:r>
      <w:r w:rsidRPr="00BF441B">
        <w:rPr>
          <w:vertAlign w:val="subscript"/>
          <w:lang w:val="uk-UA"/>
        </w:rPr>
        <w:t>50</w:t>
      </w:r>
      <w:r w:rsidRPr="00BF441B">
        <w:rPr>
          <w:lang w:val="uk-UA"/>
        </w:rPr>
        <w:t xml:space="preserve"> 7,9 мкМ). </w:t>
      </w:r>
      <w:r w:rsidRPr="00BF441B">
        <w:t>Робенакоксиб спричин</w:t>
      </w:r>
      <w:r w:rsidRPr="00BF441B">
        <w:rPr>
          <w:lang w:val="uk-UA"/>
        </w:rPr>
        <w:t>и</w:t>
      </w:r>
      <w:r w:rsidRPr="00BF441B">
        <w:t xml:space="preserve">в </w:t>
      </w:r>
      <w:r w:rsidRPr="00BF441B">
        <w:rPr>
          <w:lang w:val="uk-UA"/>
        </w:rPr>
        <w:t>значне</w:t>
      </w:r>
      <w:r w:rsidRPr="00BF441B">
        <w:t xml:space="preserve"> пригнічення активності ЦОГ-2 і не впливав на активність ЦОГ-1 у собак </w:t>
      </w:r>
      <w:r w:rsidRPr="00BF441B">
        <w:rPr>
          <w:lang w:val="uk-UA"/>
        </w:rPr>
        <w:t>за</w:t>
      </w:r>
      <w:r w:rsidRPr="00BF441B">
        <w:t xml:space="preserve"> пероральн</w:t>
      </w:r>
      <w:r w:rsidRPr="00BF441B">
        <w:rPr>
          <w:lang w:val="uk-UA"/>
        </w:rPr>
        <w:t xml:space="preserve">ого застосування у </w:t>
      </w:r>
      <w:r w:rsidRPr="00BF441B">
        <w:t xml:space="preserve">дозах від 0,5 до 4 мг/кг. Таким чином, у рекомендованих дозах у собак таблетки робенакоксибу зберігають ЦОГ-1. </w:t>
      </w:r>
      <w:r w:rsidRPr="00BF441B">
        <w:rPr>
          <w:lang w:val="uk-UA"/>
        </w:rPr>
        <w:t xml:space="preserve">Під час моделювання </w:t>
      </w:r>
      <w:r w:rsidRPr="00BF441B">
        <w:t xml:space="preserve">запалення </w:t>
      </w:r>
      <w:r w:rsidRPr="00BF441B">
        <w:rPr>
          <w:lang w:val="uk-UA"/>
        </w:rPr>
        <w:t>в</w:t>
      </w:r>
      <w:r w:rsidRPr="00BF441B">
        <w:t xml:space="preserve"> собак, робенакоксиб мав знеболювальну та протизапальну дію </w:t>
      </w:r>
      <w:r w:rsidRPr="00BF441B">
        <w:rPr>
          <w:lang w:val="uk-UA"/>
        </w:rPr>
        <w:t>за</w:t>
      </w:r>
      <w:r w:rsidRPr="00BF441B">
        <w:t xml:space="preserve"> одноразових пероральних доз від 0,5 до 8 мг/кг, з ID</w:t>
      </w:r>
      <w:r w:rsidRPr="00BF441B">
        <w:rPr>
          <w:vertAlign w:val="subscript"/>
        </w:rPr>
        <w:t>50</w:t>
      </w:r>
      <w:r w:rsidRPr="00BF441B">
        <w:t xml:space="preserve"> 0,8 мг/кг </w:t>
      </w:r>
      <w:r w:rsidRPr="00BF441B">
        <w:rPr>
          <w:lang w:val="uk-UA"/>
        </w:rPr>
        <w:t xml:space="preserve">та </w:t>
      </w:r>
      <w:r w:rsidRPr="00BF441B">
        <w:t>швидки</w:t>
      </w:r>
      <w:r w:rsidRPr="00BF441B">
        <w:rPr>
          <w:lang w:val="uk-UA"/>
        </w:rPr>
        <w:t>м</w:t>
      </w:r>
      <w:r w:rsidRPr="00BF441B">
        <w:t xml:space="preserve"> початк</w:t>
      </w:r>
      <w:r w:rsidRPr="00BF441B">
        <w:rPr>
          <w:lang w:val="uk-UA"/>
        </w:rPr>
        <w:t>ом</w:t>
      </w:r>
      <w:r w:rsidRPr="00BF441B">
        <w:t xml:space="preserve"> дії (</w:t>
      </w:r>
      <w:r w:rsidRPr="00BF441B">
        <w:rPr>
          <w:lang w:val="uk-UA"/>
        </w:rPr>
        <w:t xml:space="preserve">через </w:t>
      </w:r>
      <w:r w:rsidRPr="00BF441B">
        <w:t>0,5 години). Під час клінічних випробувань</w:t>
      </w:r>
      <w:r w:rsidRPr="00BF441B">
        <w:rPr>
          <w:lang w:val="uk-UA"/>
        </w:rPr>
        <w:t xml:space="preserve"> на </w:t>
      </w:r>
      <w:r w:rsidRPr="00BF441B">
        <w:t xml:space="preserve">собаках, робенакоксиб зменшував кульгавість і запалення, пов’язані з хронічним остеоартритом, а також зменшував біль, запалення та потребу в невідкладному лікуванні </w:t>
      </w:r>
      <w:r w:rsidRPr="00BF441B">
        <w:rPr>
          <w:lang w:val="uk-UA"/>
        </w:rPr>
        <w:t>в</w:t>
      </w:r>
      <w:r w:rsidRPr="00BF441B">
        <w:t xml:space="preserve"> собак, які перенесли операцію на м’яких тканинах.</w:t>
      </w:r>
    </w:p>
    <w:p w14:paraId="61D3169D" w14:textId="77777777" w:rsidR="00D04DA1" w:rsidRPr="00BF441B" w:rsidRDefault="00D04DA1" w:rsidP="00D04DA1">
      <w:pPr>
        <w:jc w:val="both"/>
        <w:rPr>
          <w:lang w:val="uk-UA"/>
        </w:rPr>
      </w:pPr>
      <w:r w:rsidRPr="00BF441B">
        <w:rPr>
          <w:lang w:val="uk-UA"/>
        </w:rPr>
        <w:tab/>
        <w:t>Після перорального застосування таблеток робенакоксибу в дозі 1 мг/кг без корму,  максимальна концентрація його в крові C</w:t>
      </w:r>
      <w:r w:rsidRPr="00BF441B">
        <w:rPr>
          <w:vertAlign w:val="subscript"/>
        </w:rPr>
        <w:t>max</w:t>
      </w:r>
      <w:r w:rsidRPr="00BF441B">
        <w:rPr>
          <w:lang w:val="uk-UA"/>
        </w:rPr>
        <w:t xml:space="preserve"> становила 1124 нг/мл і досягалась швидко упродовж 0,5 години (T</w:t>
      </w:r>
      <w:r w:rsidRPr="00BF441B">
        <w:rPr>
          <w:vertAlign w:val="subscript"/>
        </w:rPr>
        <w:t>max</w:t>
      </w:r>
      <w:r w:rsidRPr="00BF441B">
        <w:rPr>
          <w:lang w:val="uk-UA"/>
        </w:rPr>
        <w:t xml:space="preserve">), </w:t>
      </w:r>
      <w:r w:rsidRPr="00BF441B">
        <w:rPr>
          <w:shd w:val="clear" w:color="auto" w:fill="FFFFFF"/>
        </w:rPr>
        <w:t>площа під кривою</w:t>
      </w:r>
      <w:r w:rsidRPr="00BF441B">
        <w:rPr>
          <w:lang w:val="uk-UA"/>
        </w:rPr>
        <w:t xml:space="preserve"> (AUC) – 1 249 нг·год/мл. Одночасне застосування неароматизованих таблеток робенакоксибу з кормом не викликало змін T</w:t>
      </w:r>
      <w:r w:rsidRPr="00BF441B">
        <w:rPr>
          <w:vertAlign w:val="subscript"/>
        </w:rPr>
        <w:t>max</w:t>
      </w:r>
      <w:r w:rsidRPr="00BF441B">
        <w:rPr>
          <w:lang w:val="uk-UA"/>
        </w:rPr>
        <w:t>, але дещо зменшилась  C</w:t>
      </w:r>
      <w:r w:rsidRPr="00BF441B">
        <w:rPr>
          <w:vertAlign w:val="subscript"/>
        </w:rPr>
        <w:t>max</w:t>
      </w:r>
      <w:r w:rsidRPr="00BF441B">
        <w:rPr>
          <w:lang w:val="uk-UA"/>
        </w:rPr>
        <w:t xml:space="preserve"> (832 нг/мл) та трішки знизився показник AUC (782 нг·год/мл). Системна біодоступність таблеток робенакоксибу в собак становила 62 % з кормом та 84% - без корму.</w:t>
      </w:r>
    </w:p>
    <w:p w14:paraId="7A175DBF" w14:textId="77777777" w:rsidR="00D04DA1" w:rsidRPr="00BF441B" w:rsidRDefault="00D04DA1" w:rsidP="00D04DA1">
      <w:pPr>
        <w:jc w:val="both"/>
        <w:rPr>
          <w:lang w:val="uk-UA"/>
        </w:rPr>
      </w:pPr>
      <w:r w:rsidRPr="00BF441B">
        <w:rPr>
          <w:lang w:val="uk-UA"/>
        </w:rPr>
        <w:tab/>
        <w:t>Робенакоксиб має відносно невеликий об’єм розподілу (Vss 240 мл/кг) та інтенсивно зв’язується з білками плазми (&gt;99%).</w:t>
      </w:r>
    </w:p>
    <w:p w14:paraId="6D746AFC" w14:textId="77777777" w:rsidR="00D04DA1" w:rsidRPr="00BF441B" w:rsidRDefault="00D04DA1" w:rsidP="00D04DA1">
      <w:pPr>
        <w:jc w:val="both"/>
      </w:pPr>
      <w:r w:rsidRPr="00BF441B">
        <w:rPr>
          <w:lang w:val="uk-UA"/>
        </w:rPr>
        <w:tab/>
      </w:r>
      <w:r w:rsidRPr="00BF441B">
        <w:t xml:space="preserve">Робенакоксиб активно метаболізується в печінці собак. </w:t>
      </w:r>
      <w:r w:rsidRPr="00BF441B">
        <w:rPr>
          <w:lang w:val="uk-UA"/>
        </w:rPr>
        <w:t xml:space="preserve">Ідентифікація інших метаболітів, окрім одного </w:t>
      </w:r>
      <w:r w:rsidRPr="00BF441B">
        <w:t>лактам</w:t>
      </w:r>
      <w:r w:rsidRPr="00BF441B">
        <w:rPr>
          <w:lang w:val="uk-UA"/>
        </w:rPr>
        <w:t>ного, не проведена</w:t>
      </w:r>
      <w:r w:rsidRPr="00BF441B">
        <w:t>.</w:t>
      </w:r>
    </w:p>
    <w:p w14:paraId="26393677" w14:textId="77777777" w:rsidR="00D04DA1" w:rsidRPr="00BF441B" w:rsidRDefault="00D04DA1" w:rsidP="00D04DA1">
      <w:pPr>
        <w:jc w:val="both"/>
        <w:rPr>
          <w:lang w:val="uk-UA"/>
        </w:rPr>
      </w:pPr>
      <w:r w:rsidRPr="00BF441B">
        <w:rPr>
          <w:lang w:val="uk-UA"/>
        </w:rPr>
        <w:tab/>
        <w:t>Після перорального застосування таблеток з робенакоксибом, кінцевий період напіввиведення робенакоксибу з крові становив 1,2 години. Робенакоксиб утримується довше та у вищих концентраціях у місцях запалення, ніж у крові.</w:t>
      </w:r>
    </w:p>
    <w:p w14:paraId="7BEB42E0" w14:textId="77777777" w:rsidR="00D04DA1" w:rsidRPr="00BF441B" w:rsidRDefault="00D04DA1" w:rsidP="00D04DA1">
      <w:pPr>
        <w:jc w:val="both"/>
        <w:rPr>
          <w:lang w:val="uk-UA"/>
        </w:rPr>
      </w:pPr>
      <w:r w:rsidRPr="00BF441B">
        <w:rPr>
          <w:lang w:val="uk-UA"/>
        </w:rPr>
        <w:tab/>
        <w:t>Робенакоксиб виводиться переважно з жовчю (</w:t>
      </w:r>
      <w:r w:rsidRPr="00BF441B">
        <w:rPr>
          <w:rFonts w:ascii="Symbol" w:hAnsi="Symbol"/>
        </w:rPr>
        <w:sym w:font="Symbol" w:char="F07E"/>
      </w:r>
      <w:r w:rsidRPr="00BF441B">
        <w:rPr>
          <w:rFonts w:ascii="Symbol" w:hAnsi="Symbol"/>
          <w:lang w:val="uk-UA"/>
        </w:rPr>
        <w:t></w:t>
      </w:r>
      <w:r w:rsidRPr="00BF441B">
        <w:rPr>
          <w:rFonts w:ascii="Symbol" w:hAnsi="Symbol"/>
          <w:lang w:val="uk-UA"/>
        </w:rPr>
        <w:t></w:t>
      </w:r>
      <w:r w:rsidRPr="00BF441B">
        <w:rPr>
          <w:lang w:val="uk-UA"/>
        </w:rPr>
        <w:t xml:space="preserve"> %),  решта через нирки.  </w:t>
      </w:r>
    </w:p>
    <w:p w14:paraId="0B718ECE" w14:textId="77777777" w:rsidR="00D04DA1" w:rsidRPr="00BF441B" w:rsidRDefault="00D04DA1" w:rsidP="00D04DA1">
      <w:pPr>
        <w:jc w:val="both"/>
        <w:rPr>
          <w:lang w:val="uk-UA"/>
        </w:rPr>
      </w:pPr>
      <w:r w:rsidRPr="00BF441B">
        <w:rPr>
          <w:lang w:val="uk-UA"/>
        </w:rPr>
        <w:tab/>
        <w:t xml:space="preserve">Повторне пероральне введення робенакоксибу собакам у дозах 2–10 мг/кг протягом 6 місяців не викликало жодних змін у профілі крові, ані накопичення робенакоксибу, ані індукції ферменту. </w:t>
      </w:r>
      <w:r w:rsidRPr="00BF441B">
        <w:rPr>
          <w:lang w:val="uk-UA"/>
        </w:rPr>
        <w:tab/>
      </w:r>
    </w:p>
    <w:p w14:paraId="1E801907" w14:textId="77777777" w:rsidR="00D04DA1" w:rsidRPr="00BF441B" w:rsidRDefault="00D04DA1" w:rsidP="00D04DA1">
      <w:pPr>
        <w:jc w:val="right"/>
        <w:rPr>
          <w:lang w:val="uk-UA" w:eastAsia="en-US"/>
        </w:rPr>
      </w:pPr>
      <w:r w:rsidRPr="00BF441B">
        <w:rPr>
          <w:lang w:val="uk-UA" w:eastAsia="en-US"/>
        </w:rPr>
        <w:lastRenderedPageBreak/>
        <w:t>Продовження додатку 1</w:t>
      </w:r>
    </w:p>
    <w:p w14:paraId="334CF11E" w14:textId="77777777" w:rsidR="00D04DA1" w:rsidRPr="00BF441B" w:rsidRDefault="00D04DA1" w:rsidP="00D04DA1">
      <w:pPr>
        <w:jc w:val="right"/>
        <w:rPr>
          <w:lang w:val="uk-UA" w:eastAsia="en-US"/>
        </w:rPr>
      </w:pPr>
      <w:r w:rsidRPr="00BF441B">
        <w:rPr>
          <w:lang w:val="uk-UA" w:eastAsia="en-US"/>
        </w:rPr>
        <w:t>до реєстраційного посвідчення</w:t>
      </w:r>
    </w:p>
    <w:p w14:paraId="29CAE1FE" w14:textId="77777777" w:rsidR="00D04DA1" w:rsidRPr="00BF441B" w:rsidRDefault="00D04DA1" w:rsidP="00D04DA1">
      <w:pPr>
        <w:jc w:val="both"/>
        <w:rPr>
          <w:lang w:val="uk-UA"/>
        </w:rPr>
      </w:pPr>
    </w:p>
    <w:p w14:paraId="674C9BCC" w14:textId="77777777" w:rsidR="00D04DA1" w:rsidRPr="00BF441B" w:rsidRDefault="00D04DA1" w:rsidP="00D04DA1">
      <w:pPr>
        <w:ind w:firstLine="567"/>
        <w:jc w:val="both"/>
        <w:rPr>
          <w:lang w:val="uk-UA"/>
        </w:rPr>
      </w:pPr>
      <w:r w:rsidRPr="00BF441B">
        <w:rPr>
          <w:lang w:val="uk-UA"/>
        </w:rPr>
        <w:t>Накопичення метаболітів не досліджено. Фармакокінетика робенакоксибу не відрізняється  в самців та самок собак і є лінійною в діапазоні 0,5–8 мг/кг.</w:t>
      </w:r>
    </w:p>
    <w:p w14:paraId="0101C8BD" w14:textId="77777777" w:rsidR="00D04DA1" w:rsidRPr="00BF441B" w:rsidRDefault="00D04DA1" w:rsidP="00D04DA1">
      <w:pPr>
        <w:widowControl w:val="0"/>
        <w:ind w:firstLine="567"/>
        <w:jc w:val="both"/>
        <w:rPr>
          <w:b/>
          <w:snapToGrid w:val="0"/>
          <w:lang w:val="uk-UA"/>
        </w:rPr>
      </w:pPr>
      <w:r w:rsidRPr="00BF441B">
        <w:rPr>
          <w:b/>
          <w:snapToGrid w:val="0"/>
          <w:lang w:val="uk-UA"/>
        </w:rPr>
        <w:t>5. Клінічні особливості</w:t>
      </w:r>
    </w:p>
    <w:p w14:paraId="3C7EB627" w14:textId="77777777" w:rsidR="00D04DA1" w:rsidRPr="00BF441B" w:rsidRDefault="00D04DA1" w:rsidP="00D04DA1">
      <w:pPr>
        <w:widowControl w:val="0"/>
        <w:ind w:firstLine="567"/>
        <w:jc w:val="both"/>
        <w:rPr>
          <w:b/>
          <w:snapToGrid w:val="0"/>
          <w:lang w:val="uk-UA"/>
        </w:rPr>
      </w:pPr>
      <w:r w:rsidRPr="00BF441B">
        <w:rPr>
          <w:b/>
          <w:snapToGrid w:val="0"/>
          <w:lang w:val="uk-UA"/>
        </w:rPr>
        <w:t>5.1 Вид тварин</w:t>
      </w:r>
    </w:p>
    <w:p w14:paraId="641ED88C" w14:textId="77777777" w:rsidR="00D04DA1" w:rsidRPr="00BF441B" w:rsidRDefault="00D04DA1" w:rsidP="00D04DA1">
      <w:pPr>
        <w:widowControl w:val="0"/>
        <w:ind w:firstLine="567"/>
        <w:jc w:val="both"/>
        <w:rPr>
          <w:snapToGrid w:val="0"/>
          <w:lang w:val="uk-UA"/>
        </w:rPr>
      </w:pPr>
      <w:r w:rsidRPr="00BF441B">
        <w:rPr>
          <w:snapToGrid w:val="0"/>
          <w:lang w:val="uk-UA"/>
        </w:rPr>
        <w:t>Собаки.</w:t>
      </w:r>
    </w:p>
    <w:p w14:paraId="0E666B1F" w14:textId="77777777" w:rsidR="00D04DA1" w:rsidRPr="00BF441B" w:rsidRDefault="00D04DA1" w:rsidP="00D04DA1">
      <w:pPr>
        <w:pStyle w:val="3"/>
        <w:ind w:firstLine="567"/>
        <w:rPr>
          <w:szCs w:val="24"/>
        </w:rPr>
      </w:pPr>
      <w:r w:rsidRPr="00BF441B">
        <w:rPr>
          <w:szCs w:val="24"/>
        </w:rPr>
        <w:t>5.2 Показання до застосування</w:t>
      </w:r>
    </w:p>
    <w:p w14:paraId="0A284C32" w14:textId="77777777" w:rsidR="00D04DA1" w:rsidRPr="00BF441B" w:rsidRDefault="00D04DA1" w:rsidP="00D04DA1">
      <w:pPr>
        <w:pStyle w:val="3"/>
        <w:ind w:firstLine="567"/>
        <w:rPr>
          <w:b w:val="0"/>
        </w:rPr>
      </w:pPr>
      <w:r w:rsidRPr="00BF441B">
        <w:rPr>
          <w:b w:val="0"/>
        </w:rPr>
        <w:t>Для зменшення запалення та болю при лікуванні собак за хронічного остеоартриту; як протизапальний, болезаспокійливий та жарознижуючий засіб у періопераційний період</w:t>
      </w:r>
      <w:r w:rsidRPr="00BF441B">
        <w:rPr>
          <w:b w:val="0"/>
          <w:szCs w:val="24"/>
        </w:rPr>
        <w:t xml:space="preserve"> (хірургічні втручання ортопедичні, стоматологічні та на м'яких тканинах).</w:t>
      </w:r>
    </w:p>
    <w:p w14:paraId="46FFDC07" w14:textId="77777777" w:rsidR="00D04DA1" w:rsidRPr="00BF441B" w:rsidRDefault="00D04DA1" w:rsidP="00D04DA1">
      <w:pPr>
        <w:rPr>
          <w:b/>
          <w:snapToGrid w:val="0"/>
          <w:lang w:val="uk-UA"/>
        </w:rPr>
      </w:pPr>
      <w:r w:rsidRPr="00BF441B">
        <w:rPr>
          <w:b/>
          <w:snapToGrid w:val="0"/>
          <w:lang w:val="uk-UA"/>
        </w:rPr>
        <w:tab/>
        <w:t>5.3 Протипоказання</w:t>
      </w:r>
    </w:p>
    <w:p w14:paraId="60A8C56B" w14:textId="77777777" w:rsidR="00D04DA1" w:rsidRPr="00BF441B" w:rsidRDefault="00D04DA1" w:rsidP="00D04DA1">
      <w:pPr>
        <w:jc w:val="both"/>
        <w:rPr>
          <w:lang w:val="uk-UA"/>
        </w:rPr>
      </w:pPr>
      <w:r w:rsidRPr="00BF441B">
        <w:rPr>
          <w:lang w:val="uk-UA"/>
        </w:rPr>
        <w:tab/>
        <w:t>Не застосовувати собакам із виразкою травного каналу або захворюваннями печінки.</w:t>
      </w:r>
    </w:p>
    <w:p w14:paraId="45AA81A6" w14:textId="77777777" w:rsidR="00D04DA1" w:rsidRPr="00BF441B" w:rsidRDefault="00D04DA1" w:rsidP="00D04DA1">
      <w:pPr>
        <w:jc w:val="both"/>
        <w:rPr>
          <w:lang w:val="uk-UA"/>
        </w:rPr>
      </w:pPr>
      <w:r w:rsidRPr="00BF441B">
        <w:rPr>
          <w:lang w:val="uk-UA"/>
        </w:rPr>
        <w:tab/>
        <w:t>Не застосовувати одночасно з кортикостероїдами або іншими нестероїдними протизапальними засобами (НПЗЗ).</w:t>
      </w:r>
    </w:p>
    <w:p w14:paraId="393C86BC" w14:textId="77777777" w:rsidR="00D04DA1" w:rsidRPr="00BF441B" w:rsidRDefault="00D04DA1" w:rsidP="00D04DA1">
      <w:pPr>
        <w:jc w:val="both"/>
        <w:rPr>
          <w:lang w:val="uk-UA"/>
        </w:rPr>
      </w:pPr>
      <w:r w:rsidRPr="00BF441B">
        <w:tab/>
      </w:r>
      <w:r w:rsidRPr="00BF441B">
        <w:rPr>
          <w:lang w:val="uk-UA"/>
        </w:rPr>
        <w:t>Не застосовувати за підвищеної чутливості до діючої речовини або до будь-якої із допоміжних речовин.</w:t>
      </w:r>
    </w:p>
    <w:p w14:paraId="6209B46F" w14:textId="77777777" w:rsidR="00D04DA1" w:rsidRPr="00BF441B" w:rsidRDefault="00D04DA1" w:rsidP="00D04DA1">
      <w:pPr>
        <w:jc w:val="both"/>
        <w:rPr>
          <w:lang w:val="uk-UA"/>
        </w:rPr>
      </w:pPr>
      <w:r w:rsidRPr="00BF441B">
        <w:rPr>
          <w:lang w:val="uk-UA"/>
        </w:rPr>
        <w:tab/>
        <w:t>Не застосовувати тваринам у період вагітності та лактації.</w:t>
      </w:r>
    </w:p>
    <w:p w14:paraId="295BF3DF" w14:textId="77777777" w:rsidR="00D04DA1" w:rsidRPr="00BF441B" w:rsidRDefault="00D04DA1" w:rsidP="00D04DA1">
      <w:pPr>
        <w:rPr>
          <w:b/>
          <w:snapToGrid w:val="0"/>
          <w:lang w:val="uk-UA"/>
        </w:rPr>
      </w:pPr>
      <w:r w:rsidRPr="00BF441B">
        <w:rPr>
          <w:b/>
          <w:snapToGrid w:val="0"/>
          <w:lang w:val="uk-UA"/>
        </w:rPr>
        <w:tab/>
      </w:r>
      <w:r w:rsidRPr="00BF441B">
        <w:rPr>
          <w:b/>
          <w:snapToGrid w:val="0"/>
        </w:rPr>
        <w:t>5.</w:t>
      </w:r>
      <w:r w:rsidRPr="00BF441B">
        <w:rPr>
          <w:b/>
          <w:snapToGrid w:val="0"/>
          <w:lang w:val="uk-UA"/>
        </w:rPr>
        <w:t>4</w:t>
      </w:r>
      <w:r w:rsidRPr="00BF441B">
        <w:rPr>
          <w:b/>
          <w:snapToGrid w:val="0"/>
        </w:rPr>
        <w:t xml:space="preserve"> Побічна дія</w:t>
      </w:r>
    </w:p>
    <w:tbl>
      <w:tblPr>
        <w:tblW w:w="921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819"/>
      </w:tblGrid>
      <w:tr w:rsidR="00BF441B" w:rsidRPr="00BF441B" w14:paraId="3504791C" w14:textId="77777777" w:rsidTr="000A75B2">
        <w:tc>
          <w:tcPr>
            <w:tcW w:w="4395" w:type="dxa"/>
            <w:shd w:val="clear" w:color="auto" w:fill="auto"/>
          </w:tcPr>
          <w:p w14:paraId="47A77AEB" w14:textId="77777777" w:rsidR="00D04DA1" w:rsidRPr="00BF441B" w:rsidRDefault="00D04DA1" w:rsidP="000A75B2">
            <w:pPr>
              <w:pStyle w:val="Default"/>
              <w:rPr>
                <w:rFonts w:ascii="Times New Roman" w:hAnsi="Times New Roman" w:cs="Times New Roman"/>
                <w:color w:val="auto"/>
                <w:sz w:val="22"/>
                <w:szCs w:val="20"/>
                <w:lang w:val="ru-RU" w:eastAsia="en-US"/>
              </w:rPr>
            </w:pPr>
            <w:bookmarkStart w:id="3" w:name="_Hlk193995808"/>
            <w:r w:rsidRPr="00BF441B">
              <w:rPr>
                <w:rFonts w:ascii="Times New Roman" w:hAnsi="Times New Roman" w:cs="Times New Roman"/>
                <w:color w:val="auto"/>
                <w:sz w:val="22"/>
                <w:szCs w:val="20"/>
                <w:lang w:val="uk-UA" w:eastAsia="en-US"/>
              </w:rPr>
              <w:t>Дуже часті реакції</w:t>
            </w:r>
          </w:p>
          <w:p w14:paraId="7F235917" w14:textId="77777777" w:rsidR="00D04DA1" w:rsidRPr="00BF441B" w:rsidRDefault="00D04DA1" w:rsidP="000A75B2">
            <w:pPr>
              <w:pStyle w:val="ac"/>
              <w:rPr>
                <w:rFonts w:ascii="Times New Roman" w:eastAsia="Times New Roman" w:hAnsi="Times New Roman" w:cs="Times New Roman"/>
                <w:sz w:val="22"/>
                <w:szCs w:val="20"/>
                <w:lang w:val="ru-RU" w:eastAsia="en-US"/>
              </w:rPr>
            </w:pPr>
            <w:r w:rsidRPr="00BF441B">
              <w:rPr>
                <w:rFonts w:ascii="Times New Roman" w:eastAsia="Times New Roman" w:hAnsi="Times New Roman" w:cs="Times New Roman"/>
                <w:sz w:val="22"/>
                <w:szCs w:val="20"/>
                <w:lang w:val="ru-RU" w:eastAsia="en-US"/>
              </w:rPr>
              <w:t xml:space="preserve">(&gt;1 </w:t>
            </w:r>
            <w:r w:rsidRPr="00BF441B">
              <w:rPr>
                <w:rFonts w:ascii="Times New Roman" w:eastAsia="Times New Roman" w:hAnsi="Times New Roman" w:cs="Times New Roman"/>
                <w:sz w:val="22"/>
                <w:szCs w:val="20"/>
                <w:lang w:val="uk-UA" w:eastAsia="en-US"/>
              </w:rPr>
              <w:t>тварини</w:t>
            </w:r>
            <w:r w:rsidRPr="00BF441B">
              <w:rPr>
                <w:rFonts w:ascii="Times New Roman" w:eastAsia="Times New Roman" w:hAnsi="Times New Roman" w:cs="Times New Roman"/>
                <w:sz w:val="22"/>
                <w:szCs w:val="20"/>
                <w:lang w:val="ru-RU" w:eastAsia="en-US"/>
              </w:rPr>
              <w:t xml:space="preserve"> / 10 </w:t>
            </w:r>
            <w:r w:rsidRPr="00BF441B">
              <w:rPr>
                <w:rFonts w:ascii="Times New Roman" w:eastAsia="Times New Roman" w:hAnsi="Times New Roman" w:cs="Times New Roman"/>
                <w:sz w:val="22"/>
                <w:szCs w:val="20"/>
                <w:lang w:val="uk-UA" w:eastAsia="en-US"/>
              </w:rPr>
              <w:t>пролікованих тварин</w:t>
            </w:r>
            <w:r w:rsidRPr="00BF441B">
              <w:rPr>
                <w:rFonts w:ascii="Times New Roman" w:eastAsia="Times New Roman" w:hAnsi="Times New Roman" w:cs="Times New Roman"/>
                <w:sz w:val="22"/>
                <w:szCs w:val="20"/>
                <w:lang w:val="ru-RU" w:eastAsia="en-US"/>
              </w:rPr>
              <w:t xml:space="preserve">): </w:t>
            </w:r>
          </w:p>
        </w:tc>
        <w:tc>
          <w:tcPr>
            <w:tcW w:w="4819" w:type="dxa"/>
            <w:shd w:val="clear" w:color="auto" w:fill="auto"/>
          </w:tcPr>
          <w:p w14:paraId="0A1DD1C0" w14:textId="77777777" w:rsidR="00D04DA1" w:rsidRPr="00BF441B" w:rsidRDefault="00D04DA1" w:rsidP="000A75B2">
            <w:pPr>
              <w:pStyle w:val="ac"/>
              <w:rPr>
                <w:rFonts w:ascii="Times New Roman" w:eastAsia="Times New Roman" w:hAnsi="Times New Roman" w:cs="Times New Roman"/>
                <w:sz w:val="22"/>
                <w:szCs w:val="20"/>
                <w:lang w:val="uk-UA" w:eastAsia="en-US"/>
              </w:rPr>
            </w:pPr>
            <w:r w:rsidRPr="00BF441B">
              <w:rPr>
                <w:rFonts w:ascii="Times New Roman" w:eastAsia="Times New Roman" w:hAnsi="Times New Roman" w:cs="Times New Roman"/>
                <w:sz w:val="22"/>
                <w:szCs w:val="20"/>
                <w:lang w:val="ru-RU" w:eastAsia="en-US"/>
              </w:rPr>
              <w:t>Розлад травлення</w:t>
            </w:r>
            <w:r w:rsidRPr="00BF441B">
              <w:rPr>
                <w:rFonts w:ascii="Times New Roman" w:eastAsia="Times New Roman" w:hAnsi="Times New Roman" w:cs="Times New Roman"/>
                <w:sz w:val="22"/>
                <w:szCs w:val="20"/>
                <w:vertAlign w:val="superscript"/>
                <w:lang w:val="ru-RU" w:eastAsia="en-US"/>
              </w:rPr>
              <w:t>1</w:t>
            </w:r>
            <w:r w:rsidRPr="00BF441B">
              <w:rPr>
                <w:rFonts w:ascii="Times New Roman" w:eastAsia="Times New Roman" w:hAnsi="Times New Roman" w:cs="Times New Roman"/>
                <w:sz w:val="22"/>
                <w:szCs w:val="20"/>
                <w:lang w:val="uk-UA" w:eastAsia="en-US"/>
              </w:rPr>
              <w:t>, д</w:t>
            </w:r>
            <w:r w:rsidRPr="00BF441B">
              <w:rPr>
                <w:rFonts w:ascii="Times New Roman" w:eastAsia="Times New Roman" w:hAnsi="Times New Roman" w:cs="Times New Roman"/>
                <w:sz w:val="22"/>
                <w:szCs w:val="20"/>
                <w:lang w:val="ru-RU" w:eastAsia="en-US"/>
              </w:rPr>
              <w:t>іарея, блювання</w:t>
            </w:r>
          </w:p>
        </w:tc>
      </w:tr>
      <w:tr w:rsidR="00BF441B" w:rsidRPr="00BF441B" w14:paraId="27970D20" w14:textId="77777777" w:rsidTr="000A75B2">
        <w:tc>
          <w:tcPr>
            <w:tcW w:w="4395" w:type="dxa"/>
            <w:shd w:val="clear" w:color="auto" w:fill="auto"/>
          </w:tcPr>
          <w:p w14:paraId="07A6F028" w14:textId="77777777" w:rsidR="00D04DA1" w:rsidRPr="00BF441B" w:rsidRDefault="00D04DA1" w:rsidP="000A75B2">
            <w:pPr>
              <w:pStyle w:val="ac"/>
              <w:rPr>
                <w:rFonts w:ascii="Times New Roman" w:eastAsia="Times New Roman" w:hAnsi="Times New Roman" w:cs="Times New Roman"/>
                <w:sz w:val="22"/>
                <w:szCs w:val="20"/>
                <w:lang w:val="ru-RU" w:eastAsia="en-US"/>
              </w:rPr>
            </w:pPr>
            <w:r w:rsidRPr="00BF441B">
              <w:rPr>
                <w:rFonts w:ascii="Times New Roman" w:eastAsia="Times New Roman" w:hAnsi="Times New Roman" w:cs="Times New Roman"/>
                <w:sz w:val="22"/>
                <w:szCs w:val="20"/>
                <w:lang w:val="uk-UA" w:eastAsia="en-US"/>
              </w:rPr>
              <w:t>Часті реакції</w:t>
            </w:r>
            <w:r w:rsidRPr="00BF441B">
              <w:rPr>
                <w:rFonts w:ascii="Times New Roman" w:eastAsia="Times New Roman" w:hAnsi="Times New Roman" w:cs="Times New Roman"/>
                <w:sz w:val="22"/>
                <w:szCs w:val="20"/>
                <w:lang w:val="ru-RU" w:eastAsia="en-US"/>
              </w:rPr>
              <w:t xml:space="preserve"> </w:t>
            </w:r>
          </w:p>
          <w:p w14:paraId="2A57DEDD" w14:textId="77777777" w:rsidR="00D04DA1" w:rsidRPr="00BF441B" w:rsidRDefault="00D04DA1" w:rsidP="000A75B2">
            <w:pPr>
              <w:pStyle w:val="ac"/>
              <w:rPr>
                <w:rFonts w:ascii="Times New Roman" w:eastAsia="Times New Roman" w:hAnsi="Times New Roman" w:cs="Times New Roman"/>
                <w:sz w:val="22"/>
                <w:szCs w:val="20"/>
                <w:lang w:val="ru-RU" w:eastAsia="en-US"/>
              </w:rPr>
            </w:pPr>
            <w:r w:rsidRPr="00BF441B">
              <w:rPr>
                <w:rFonts w:ascii="Times New Roman" w:eastAsia="Times New Roman" w:hAnsi="Times New Roman" w:cs="Times New Roman"/>
                <w:sz w:val="22"/>
                <w:szCs w:val="20"/>
                <w:lang w:val="ru-RU" w:eastAsia="en-US"/>
              </w:rPr>
              <w:t xml:space="preserve">(від 1 </w:t>
            </w:r>
            <w:r w:rsidRPr="00BF441B">
              <w:rPr>
                <w:rFonts w:ascii="Times New Roman" w:eastAsia="Times New Roman" w:hAnsi="Times New Roman" w:cs="Times New Roman"/>
                <w:sz w:val="22"/>
                <w:szCs w:val="20"/>
                <w:lang w:val="uk-UA" w:eastAsia="en-US"/>
              </w:rPr>
              <w:t>до</w:t>
            </w:r>
            <w:r w:rsidRPr="00BF441B">
              <w:rPr>
                <w:rFonts w:ascii="Times New Roman" w:eastAsia="Times New Roman" w:hAnsi="Times New Roman" w:cs="Times New Roman"/>
                <w:sz w:val="22"/>
                <w:szCs w:val="20"/>
                <w:lang w:val="ru-RU" w:eastAsia="en-US"/>
              </w:rPr>
              <w:t xml:space="preserve"> 10 </w:t>
            </w:r>
            <w:r w:rsidRPr="00BF441B">
              <w:rPr>
                <w:rFonts w:ascii="Times New Roman" w:eastAsia="Times New Roman" w:hAnsi="Times New Roman" w:cs="Times New Roman"/>
                <w:sz w:val="22"/>
                <w:szCs w:val="20"/>
                <w:lang w:val="uk-UA" w:eastAsia="en-US"/>
              </w:rPr>
              <w:t>тварин</w:t>
            </w:r>
            <w:r w:rsidRPr="00BF441B">
              <w:rPr>
                <w:rFonts w:ascii="Times New Roman" w:eastAsia="Times New Roman" w:hAnsi="Times New Roman" w:cs="Times New Roman"/>
                <w:sz w:val="22"/>
                <w:szCs w:val="20"/>
                <w:lang w:val="ru-RU" w:eastAsia="en-US"/>
              </w:rPr>
              <w:t xml:space="preserve"> / 100 </w:t>
            </w:r>
            <w:r w:rsidRPr="00BF441B">
              <w:rPr>
                <w:rFonts w:ascii="Times New Roman" w:eastAsia="Times New Roman" w:hAnsi="Times New Roman" w:cs="Times New Roman"/>
                <w:sz w:val="22"/>
                <w:szCs w:val="20"/>
                <w:lang w:val="uk-UA" w:eastAsia="en-US"/>
              </w:rPr>
              <w:t>пролікованих тварин</w:t>
            </w:r>
            <w:r w:rsidRPr="00BF441B">
              <w:rPr>
                <w:rFonts w:ascii="Times New Roman" w:eastAsia="Times New Roman" w:hAnsi="Times New Roman" w:cs="Times New Roman"/>
                <w:sz w:val="22"/>
                <w:szCs w:val="20"/>
                <w:lang w:val="ru-RU" w:eastAsia="en-US"/>
              </w:rPr>
              <w:t>):</w:t>
            </w:r>
          </w:p>
        </w:tc>
        <w:tc>
          <w:tcPr>
            <w:tcW w:w="4819" w:type="dxa"/>
            <w:shd w:val="clear" w:color="auto" w:fill="auto"/>
          </w:tcPr>
          <w:p w14:paraId="080D7DD5" w14:textId="77777777" w:rsidR="00D04DA1" w:rsidRPr="00BF441B" w:rsidRDefault="00D04DA1" w:rsidP="000A75B2">
            <w:r w:rsidRPr="00BF441B">
              <w:t>Підвищений рівень печінкових ферментів</w:t>
            </w:r>
            <w:r w:rsidRPr="00BF441B">
              <w:rPr>
                <w:vertAlign w:val="superscript"/>
              </w:rPr>
              <w:t>2</w:t>
            </w:r>
          </w:p>
          <w:p w14:paraId="08A11B0A" w14:textId="77777777" w:rsidR="00D04DA1" w:rsidRPr="00BF441B" w:rsidRDefault="00D04DA1" w:rsidP="000A75B2">
            <w:pPr>
              <w:pStyle w:val="ac"/>
              <w:rPr>
                <w:rFonts w:ascii="Times New Roman" w:eastAsia="Times New Roman" w:hAnsi="Times New Roman" w:cs="Times New Roman"/>
                <w:sz w:val="22"/>
                <w:szCs w:val="20"/>
                <w:lang w:val="ru-RU" w:eastAsia="en-US"/>
              </w:rPr>
            </w:pPr>
            <w:r w:rsidRPr="00BF441B">
              <w:rPr>
                <w:rFonts w:ascii="Times New Roman" w:hAnsi="Times New Roman" w:cs="Times New Roman"/>
                <w:sz w:val="24"/>
                <w:szCs w:val="24"/>
                <w:lang w:val="ru-RU"/>
              </w:rPr>
              <w:t>Зниження апетиту</w:t>
            </w:r>
          </w:p>
        </w:tc>
      </w:tr>
      <w:tr w:rsidR="00BF441B" w:rsidRPr="00BF441B" w14:paraId="7451F6CC" w14:textId="77777777" w:rsidTr="000A75B2">
        <w:tc>
          <w:tcPr>
            <w:tcW w:w="4395" w:type="dxa"/>
            <w:shd w:val="clear" w:color="auto" w:fill="auto"/>
          </w:tcPr>
          <w:p w14:paraId="68DF4AD5" w14:textId="77777777" w:rsidR="00D04DA1" w:rsidRPr="00BF441B" w:rsidRDefault="00D04DA1" w:rsidP="000A75B2">
            <w:pPr>
              <w:pStyle w:val="Default"/>
              <w:rPr>
                <w:rFonts w:ascii="Times New Roman" w:hAnsi="Times New Roman" w:cs="Times New Roman"/>
                <w:color w:val="auto"/>
                <w:sz w:val="22"/>
                <w:szCs w:val="20"/>
                <w:lang w:val="ru-RU" w:eastAsia="en-US"/>
              </w:rPr>
            </w:pPr>
            <w:r w:rsidRPr="00BF441B">
              <w:rPr>
                <w:rFonts w:ascii="Times New Roman" w:hAnsi="Times New Roman" w:cs="Times New Roman"/>
                <w:color w:val="auto"/>
                <w:sz w:val="22"/>
                <w:szCs w:val="20"/>
                <w:lang w:val="uk-UA" w:eastAsia="en-US"/>
              </w:rPr>
              <w:t>Нечасті реакції</w:t>
            </w:r>
            <w:r w:rsidRPr="00BF441B">
              <w:rPr>
                <w:rFonts w:ascii="Times New Roman" w:hAnsi="Times New Roman" w:cs="Times New Roman"/>
                <w:color w:val="auto"/>
                <w:sz w:val="22"/>
                <w:szCs w:val="20"/>
                <w:lang w:val="ru-RU" w:eastAsia="en-US"/>
              </w:rPr>
              <w:t xml:space="preserve"> </w:t>
            </w:r>
          </w:p>
          <w:p w14:paraId="5946AEC9" w14:textId="77777777" w:rsidR="00D04DA1" w:rsidRPr="00BF441B" w:rsidRDefault="00D04DA1" w:rsidP="000A75B2">
            <w:pPr>
              <w:pStyle w:val="ac"/>
              <w:rPr>
                <w:rFonts w:ascii="Times New Roman" w:eastAsia="Times New Roman" w:hAnsi="Times New Roman" w:cs="Times New Roman"/>
                <w:sz w:val="22"/>
                <w:szCs w:val="20"/>
                <w:lang w:val="ru-RU" w:eastAsia="en-US"/>
              </w:rPr>
            </w:pPr>
            <w:r w:rsidRPr="00BF441B">
              <w:rPr>
                <w:rFonts w:ascii="Times New Roman" w:eastAsia="Times New Roman" w:hAnsi="Times New Roman" w:cs="Times New Roman"/>
                <w:sz w:val="22"/>
                <w:szCs w:val="20"/>
                <w:lang w:val="ru-RU" w:eastAsia="en-US"/>
              </w:rPr>
              <w:t xml:space="preserve">(від 1 до 10 </w:t>
            </w:r>
            <w:r w:rsidRPr="00BF441B">
              <w:rPr>
                <w:rFonts w:ascii="Times New Roman" w:eastAsia="Times New Roman" w:hAnsi="Times New Roman" w:cs="Times New Roman"/>
                <w:sz w:val="22"/>
                <w:szCs w:val="20"/>
                <w:lang w:val="uk-UA" w:eastAsia="en-US"/>
              </w:rPr>
              <w:t>тварин</w:t>
            </w:r>
            <w:r w:rsidRPr="00BF441B">
              <w:rPr>
                <w:rFonts w:ascii="Times New Roman" w:eastAsia="Times New Roman" w:hAnsi="Times New Roman" w:cs="Times New Roman"/>
                <w:sz w:val="22"/>
                <w:szCs w:val="20"/>
                <w:lang w:val="ru-RU" w:eastAsia="en-US"/>
              </w:rPr>
              <w:t xml:space="preserve"> / 1 000 </w:t>
            </w:r>
            <w:r w:rsidRPr="00BF441B">
              <w:rPr>
                <w:rFonts w:ascii="Times New Roman" w:eastAsia="Times New Roman" w:hAnsi="Times New Roman" w:cs="Times New Roman"/>
                <w:sz w:val="22"/>
                <w:szCs w:val="20"/>
                <w:lang w:val="uk-UA" w:eastAsia="en-US"/>
              </w:rPr>
              <w:t>пролікованих тварин</w:t>
            </w:r>
            <w:r w:rsidRPr="00BF441B">
              <w:rPr>
                <w:rFonts w:ascii="Times New Roman" w:eastAsia="Times New Roman" w:hAnsi="Times New Roman" w:cs="Times New Roman"/>
                <w:sz w:val="22"/>
                <w:szCs w:val="20"/>
                <w:lang w:val="ru-RU" w:eastAsia="en-US"/>
              </w:rPr>
              <w:t xml:space="preserve">): </w:t>
            </w:r>
          </w:p>
        </w:tc>
        <w:tc>
          <w:tcPr>
            <w:tcW w:w="4819" w:type="dxa"/>
            <w:shd w:val="clear" w:color="auto" w:fill="auto"/>
          </w:tcPr>
          <w:p w14:paraId="07AC33F5" w14:textId="77777777" w:rsidR="00D04DA1" w:rsidRPr="00BF441B" w:rsidRDefault="00D04DA1" w:rsidP="000A75B2">
            <w:pPr>
              <w:pStyle w:val="ac"/>
              <w:rPr>
                <w:rFonts w:ascii="Times New Roman" w:eastAsia="Times New Roman" w:hAnsi="Times New Roman" w:cs="Times New Roman"/>
                <w:sz w:val="22"/>
                <w:szCs w:val="20"/>
                <w:lang w:eastAsia="en-US"/>
              </w:rPr>
            </w:pPr>
            <w:r w:rsidRPr="00BF441B">
              <w:rPr>
                <w:rFonts w:ascii="Times New Roman" w:eastAsia="Times New Roman" w:hAnsi="Times New Roman" w:cs="Times New Roman"/>
                <w:sz w:val="22"/>
                <w:szCs w:val="20"/>
                <w:lang w:eastAsia="en-US"/>
              </w:rPr>
              <w:t>Кров у фекаліях</w:t>
            </w:r>
          </w:p>
        </w:tc>
      </w:tr>
      <w:tr w:rsidR="00BF441B" w:rsidRPr="00BF441B" w14:paraId="49251634" w14:textId="77777777" w:rsidTr="000A75B2">
        <w:trPr>
          <w:trHeight w:val="632"/>
        </w:trPr>
        <w:tc>
          <w:tcPr>
            <w:tcW w:w="4395" w:type="dxa"/>
            <w:shd w:val="clear" w:color="auto" w:fill="auto"/>
          </w:tcPr>
          <w:p w14:paraId="0775E42D" w14:textId="77777777" w:rsidR="00D04DA1" w:rsidRPr="00BF441B" w:rsidRDefault="00D04DA1" w:rsidP="000A75B2">
            <w:pPr>
              <w:pStyle w:val="ac"/>
              <w:rPr>
                <w:rFonts w:ascii="Times New Roman" w:eastAsia="Times New Roman" w:hAnsi="Times New Roman" w:cs="Times New Roman"/>
                <w:sz w:val="22"/>
                <w:szCs w:val="20"/>
                <w:lang w:val="uk-UA" w:eastAsia="en-US"/>
              </w:rPr>
            </w:pPr>
            <w:r w:rsidRPr="00BF441B">
              <w:rPr>
                <w:rFonts w:ascii="Times New Roman" w:eastAsia="Times New Roman" w:hAnsi="Times New Roman" w:cs="Times New Roman"/>
                <w:sz w:val="22"/>
                <w:szCs w:val="20"/>
                <w:lang w:val="uk-UA" w:eastAsia="en-US"/>
              </w:rPr>
              <w:t>Рідкісні реакції</w:t>
            </w:r>
          </w:p>
          <w:p w14:paraId="50BF53C2" w14:textId="77777777" w:rsidR="00D04DA1" w:rsidRPr="00BF441B" w:rsidRDefault="00D04DA1" w:rsidP="000A75B2">
            <w:pPr>
              <w:pStyle w:val="ac"/>
              <w:rPr>
                <w:rFonts w:ascii="Times New Roman" w:eastAsia="Times New Roman" w:hAnsi="Times New Roman" w:cs="Times New Roman"/>
                <w:sz w:val="22"/>
                <w:szCs w:val="20"/>
                <w:lang w:val="ru-RU" w:eastAsia="en-US"/>
              </w:rPr>
            </w:pPr>
            <w:r w:rsidRPr="00BF441B">
              <w:rPr>
                <w:rFonts w:ascii="Times New Roman" w:eastAsia="Times New Roman" w:hAnsi="Times New Roman" w:cs="Times New Roman"/>
                <w:sz w:val="22"/>
                <w:szCs w:val="20"/>
                <w:lang w:val="ru-RU" w:eastAsia="en-US"/>
              </w:rPr>
              <w:t xml:space="preserve">(&lt; 1 </w:t>
            </w:r>
            <w:r w:rsidRPr="00BF441B">
              <w:rPr>
                <w:rFonts w:ascii="Times New Roman" w:eastAsia="Times New Roman" w:hAnsi="Times New Roman" w:cs="Times New Roman"/>
                <w:sz w:val="22"/>
                <w:szCs w:val="20"/>
                <w:lang w:val="uk-UA" w:eastAsia="en-US"/>
              </w:rPr>
              <w:t>тварина</w:t>
            </w:r>
            <w:r w:rsidRPr="00BF441B">
              <w:rPr>
                <w:rFonts w:ascii="Times New Roman" w:eastAsia="Times New Roman" w:hAnsi="Times New Roman" w:cs="Times New Roman"/>
                <w:sz w:val="22"/>
                <w:szCs w:val="20"/>
                <w:lang w:val="ru-RU" w:eastAsia="en-US"/>
              </w:rPr>
              <w:t xml:space="preserve"> / 10 000 </w:t>
            </w:r>
            <w:r w:rsidRPr="00BF441B">
              <w:rPr>
                <w:rFonts w:ascii="Times New Roman" w:eastAsia="Times New Roman" w:hAnsi="Times New Roman" w:cs="Times New Roman"/>
                <w:sz w:val="22"/>
                <w:szCs w:val="20"/>
                <w:lang w:val="uk-UA" w:eastAsia="en-US"/>
              </w:rPr>
              <w:t>пролікованих тварин</w:t>
            </w:r>
            <w:r w:rsidRPr="00BF441B">
              <w:rPr>
                <w:rFonts w:ascii="Times New Roman" w:eastAsia="Times New Roman" w:hAnsi="Times New Roman" w:cs="Times New Roman"/>
                <w:sz w:val="22"/>
                <w:szCs w:val="20"/>
                <w:lang w:val="ru-RU" w:eastAsia="en-US"/>
              </w:rPr>
              <w:t>, включно окремі повідомлення):</w:t>
            </w:r>
          </w:p>
        </w:tc>
        <w:tc>
          <w:tcPr>
            <w:tcW w:w="4819" w:type="dxa"/>
            <w:shd w:val="clear" w:color="auto" w:fill="auto"/>
          </w:tcPr>
          <w:p w14:paraId="56FD2945" w14:textId="77777777" w:rsidR="00D04DA1" w:rsidRPr="00BF441B" w:rsidRDefault="00D04DA1" w:rsidP="000A75B2">
            <w:pPr>
              <w:pStyle w:val="ac"/>
              <w:rPr>
                <w:rFonts w:ascii="Times New Roman" w:eastAsia="Times New Roman" w:hAnsi="Times New Roman" w:cs="Times New Roman"/>
                <w:sz w:val="22"/>
                <w:szCs w:val="20"/>
                <w:lang w:val="uk-UA" w:eastAsia="en-US"/>
              </w:rPr>
            </w:pPr>
            <w:r w:rsidRPr="00BF441B">
              <w:rPr>
                <w:rFonts w:ascii="Times New Roman" w:eastAsia="Times New Roman" w:hAnsi="Times New Roman" w:cs="Times New Roman"/>
                <w:sz w:val="22"/>
                <w:szCs w:val="20"/>
                <w:lang w:eastAsia="en-US"/>
              </w:rPr>
              <w:t>Млявість</w:t>
            </w:r>
            <w:r w:rsidRPr="00BF441B">
              <w:rPr>
                <w:rFonts w:ascii="Times New Roman" w:eastAsia="Times New Roman" w:hAnsi="Times New Roman" w:cs="Times New Roman"/>
                <w:sz w:val="22"/>
                <w:szCs w:val="20"/>
                <w:lang w:val="uk-UA" w:eastAsia="en-US"/>
              </w:rPr>
              <w:t>.</w:t>
            </w:r>
          </w:p>
        </w:tc>
      </w:tr>
    </w:tbl>
    <w:p w14:paraId="2ED1B670" w14:textId="77777777" w:rsidR="00D04DA1" w:rsidRPr="00BF441B" w:rsidRDefault="00D04DA1" w:rsidP="00D04DA1">
      <w:pPr>
        <w:ind w:firstLine="567"/>
        <w:jc w:val="both"/>
        <w:rPr>
          <w:bCs/>
          <w:szCs w:val="22"/>
        </w:rPr>
      </w:pPr>
      <w:r w:rsidRPr="00BF441B">
        <w:rPr>
          <w:bCs/>
          <w:szCs w:val="22"/>
          <w:vertAlign w:val="superscript"/>
        </w:rPr>
        <w:t>1</w:t>
      </w:r>
      <w:r w:rsidRPr="00BF441B">
        <w:rPr>
          <w:bCs/>
          <w:szCs w:val="22"/>
        </w:rPr>
        <w:t>Більшість випадків були легкими та тварини одужали без лікування</w:t>
      </w:r>
      <w:r w:rsidRPr="00BF441B">
        <w:rPr>
          <w:bCs/>
          <w:szCs w:val="22"/>
          <w:lang w:val="uk-UA"/>
        </w:rPr>
        <w:t>.</w:t>
      </w:r>
      <w:r w:rsidRPr="00BF441B">
        <w:rPr>
          <w:bCs/>
          <w:szCs w:val="22"/>
        </w:rPr>
        <w:t xml:space="preserve"> </w:t>
      </w:r>
    </w:p>
    <w:p w14:paraId="3E50AF98" w14:textId="77777777" w:rsidR="00D04DA1" w:rsidRPr="00BF441B" w:rsidRDefault="00D04DA1" w:rsidP="00D04DA1">
      <w:pPr>
        <w:ind w:firstLine="567"/>
        <w:jc w:val="both"/>
      </w:pPr>
      <w:r w:rsidRPr="00BF441B">
        <w:rPr>
          <w:bCs/>
          <w:szCs w:val="22"/>
          <w:vertAlign w:val="superscript"/>
        </w:rPr>
        <w:t>2</w:t>
      </w:r>
      <w:r w:rsidRPr="00BF441B">
        <w:rPr>
          <w:bCs/>
          <w:szCs w:val="22"/>
          <w:vertAlign w:val="superscript"/>
          <w:lang w:val="uk-UA"/>
        </w:rPr>
        <w:t xml:space="preserve"> </w:t>
      </w:r>
      <w:r w:rsidRPr="00BF441B">
        <w:t xml:space="preserve">У собак, які отримували лікування до 2 тижнів, не спостерігалося підвищення активності печінкових ферментів. Однак, при тривалому лікуванні повідомлялося про підвищення активності печінкових ферментів. У більшості випадків клінічні ознаки були відсутні, а активність печінкових ферментів стабілізувалася або знижувалася </w:t>
      </w:r>
      <w:r w:rsidRPr="00BF441B">
        <w:rPr>
          <w:lang w:val="uk-UA"/>
        </w:rPr>
        <w:t>за</w:t>
      </w:r>
      <w:r w:rsidRPr="00BF441B">
        <w:t xml:space="preserve"> продовженн</w:t>
      </w:r>
      <w:r w:rsidRPr="00BF441B">
        <w:rPr>
          <w:lang w:val="uk-UA"/>
        </w:rPr>
        <w:t>я</w:t>
      </w:r>
      <w:r w:rsidRPr="00BF441B">
        <w:t xml:space="preserve"> лікування. Підвищення активності печінкових ферментів, пов’язане з клінічними ознаками анорексії, апатії або блювання, було нечастим.</w:t>
      </w:r>
    </w:p>
    <w:bookmarkEnd w:id="3"/>
    <w:p w14:paraId="386D29F1" w14:textId="77777777" w:rsidR="00D04DA1" w:rsidRPr="00BF441B" w:rsidRDefault="00D04DA1" w:rsidP="00D04DA1">
      <w:pPr>
        <w:widowControl w:val="0"/>
        <w:ind w:firstLine="567"/>
        <w:jc w:val="both"/>
        <w:rPr>
          <w:b/>
          <w:snapToGrid w:val="0"/>
          <w:lang w:val="uk-UA"/>
        </w:rPr>
      </w:pPr>
      <w:r w:rsidRPr="00BF441B">
        <w:rPr>
          <w:b/>
          <w:snapToGrid w:val="0"/>
        </w:rPr>
        <w:t>5.</w:t>
      </w:r>
      <w:r w:rsidRPr="00BF441B">
        <w:rPr>
          <w:b/>
          <w:snapToGrid w:val="0"/>
          <w:lang w:val="uk-UA"/>
        </w:rPr>
        <w:t>5</w:t>
      </w:r>
      <w:r w:rsidRPr="00BF441B">
        <w:rPr>
          <w:b/>
          <w:snapToGrid w:val="0"/>
        </w:rPr>
        <w:t xml:space="preserve"> Особливі застереження при використанні</w:t>
      </w:r>
    </w:p>
    <w:p w14:paraId="4EEEE694" w14:textId="77777777" w:rsidR="00D04DA1" w:rsidRPr="00BF441B" w:rsidRDefault="00D04DA1" w:rsidP="00D04DA1">
      <w:pPr>
        <w:jc w:val="both"/>
        <w:rPr>
          <w:lang w:val="uk-UA"/>
        </w:rPr>
      </w:pPr>
      <w:r w:rsidRPr="00BF441B">
        <w:rPr>
          <w:lang w:val="uk-UA"/>
        </w:rPr>
        <w:tab/>
      </w:r>
      <w:bookmarkStart w:id="4" w:name="_Hlk193995835"/>
      <w:r w:rsidRPr="00BF441B">
        <w:rPr>
          <w:lang w:val="uk-UA"/>
        </w:rPr>
        <w:t xml:space="preserve">Безпечність робенакоксибу не встановлена для собак масою тіла меншою, ніж 2,5 кг та віком до 3-х місяців. </w:t>
      </w:r>
    </w:p>
    <w:p w14:paraId="3E10A869" w14:textId="77777777" w:rsidR="00D04DA1" w:rsidRPr="00BF441B" w:rsidRDefault="00D04DA1" w:rsidP="00D04DA1">
      <w:pPr>
        <w:jc w:val="both"/>
        <w:rPr>
          <w:lang w:val="uk-UA"/>
        </w:rPr>
      </w:pPr>
      <w:r w:rsidRPr="00BF441B">
        <w:rPr>
          <w:lang w:val="uk-UA"/>
        </w:rPr>
        <w:tab/>
        <w:t>Для довгострокової терапії слід контролювати печінкові ферменти на початку лікування, наприклад</w:t>
      </w:r>
      <w:r w:rsidRPr="00BF441B">
        <w:t>,</w:t>
      </w:r>
      <w:r w:rsidRPr="00BF441B">
        <w:rPr>
          <w:lang w:val="uk-UA"/>
        </w:rPr>
        <w:t xml:space="preserve"> через 2, 4 і 8 тижнів. Після цього рекомендується продовжувати регулярний моніторинг, наприклад, кожні 3-6 місяців. Лікування слід припинити, якщо активність печінкових ферментів помітно підвищується або якщо в собаки з’являються такі клінічні ознаки, як анорексія, апатія або блювання в поєднанні з підвищенням рівня печінкових ферментів.</w:t>
      </w:r>
    </w:p>
    <w:p w14:paraId="2019AC86" w14:textId="77777777" w:rsidR="00D04DA1" w:rsidRPr="00BF441B" w:rsidRDefault="00D04DA1" w:rsidP="00D04DA1">
      <w:pPr>
        <w:jc w:val="both"/>
        <w:rPr>
          <w:lang w:val="uk-UA"/>
        </w:rPr>
      </w:pPr>
      <w:r w:rsidRPr="00BF441B">
        <w:rPr>
          <w:lang w:val="uk-UA"/>
        </w:rPr>
        <w:tab/>
        <w:t>Застосування собакам із порушенням функції серця чи нирок або собакам із зневодненням, гіповолемією чи гіпотензією може спричинити додаткові ризики. Якщо застосування препарату неможливо уникнути, ці собаки потребують ретельного за ними спостереження.</w:t>
      </w:r>
    </w:p>
    <w:p w14:paraId="13FC4522" w14:textId="77777777" w:rsidR="00D04DA1" w:rsidRPr="00BF441B" w:rsidRDefault="00D04DA1" w:rsidP="00D04DA1">
      <w:pPr>
        <w:ind w:firstLine="567"/>
        <w:jc w:val="both"/>
        <w:rPr>
          <w:lang w:val="uk-UA"/>
        </w:rPr>
      </w:pPr>
      <w:r w:rsidRPr="00BF441B">
        <w:rPr>
          <w:lang w:val="uk-UA"/>
        </w:rPr>
        <w:t>У випадках ризику виразки травного каналу або якщо в собаки раніше була непереносимість інших НПЗЗ, препарат необхідно використовувати під суворим контролем лікаря ветеринарної медицини.</w:t>
      </w:r>
    </w:p>
    <w:bookmarkEnd w:id="4"/>
    <w:p w14:paraId="4FF4E285" w14:textId="77777777" w:rsidR="00D04DA1" w:rsidRPr="00BF441B" w:rsidRDefault="00D04DA1" w:rsidP="00D04DA1">
      <w:pPr>
        <w:widowControl w:val="0"/>
        <w:ind w:firstLine="567"/>
        <w:jc w:val="both"/>
        <w:rPr>
          <w:b/>
          <w:snapToGrid w:val="0"/>
          <w:lang w:val="uk-UA"/>
        </w:rPr>
      </w:pPr>
      <w:r w:rsidRPr="00BF441B">
        <w:rPr>
          <w:b/>
          <w:snapToGrid w:val="0"/>
        </w:rPr>
        <w:t>5.</w:t>
      </w:r>
      <w:r w:rsidRPr="00BF441B">
        <w:rPr>
          <w:b/>
          <w:snapToGrid w:val="0"/>
          <w:lang w:val="uk-UA"/>
        </w:rPr>
        <w:t>6</w:t>
      </w:r>
      <w:r w:rsidRPr="00BF441B">
        <w:rPr>
          <w:b/>
          <w:snapToGrid w:val="0"/>
        </w:rPr>
        <w:t xml:space="preserve"> </w:t>
      </w:r>
      <w:r w:rsidRPr="00BF441B">
        <w:rPr>
          <w:b/>
          <w:snapToGrid w:val="0"/>
          <w:lang w:val="uk-UA"/>
        </w:rPr>
        <w:t>Використ</w:t>
      </w:r>
      <w:r w:rsidRPr="00BF441B">
        <w:rPr>
          <w:b/>
          <w:snapToGrid w:val="0"/>
        </w:rPr>
        <w:t>ання під час вагітності</w:t>
      </w:r>
      <w:r w:rsidRPr="00BF441B">
        <w:rPr>
          <w:b/>
          <w:snapToGrid w:val="0"/>
          <w:lang w:val="uk-UA"/>
        </w:rPr>
        <w:t>,</w:t>
      </w:r>
      <w:r w:rsidRPr="00BF441B">
        <w:rPr>
          <w:b/>
          <w:snapToGrid w:val="0"/>
        </w:rPr>
        <w:t xml:space="preserve"> лактації</w:t>
      </w:r>
    </w:p>
    <w:p w14:paraId="00A2F8DD" w14:textId="77777777" w:rsidR="00D04DA1" w:rsidRPr="00BF441B" w:rsidRDefault="00D04DA1" w:rsidP="00D04DA1">
      <w:pPr>
        <w:jc w:val="right"/>
        <w:rPr>
          <w:lang w:val="uk-UA" w:eastAsia="en-US"/>
        </w:rPr>
      </w:pPr>
    </w:p>
    <w:p w14:paraId="0731E305" w14:textId="77777777" w:rsidR="00D04DA1" w:rsidRPr="00BF441B" w:rsidRDefault="00D04DA1" w:rsidP="00D04DA1">
      <w:pPr>
        <w:jc w:val="right"/>
        <w:rPr>
          <w:lang w:val="uk-UA" w:eastAsia="en-US"/>
        </w:rPr>
      </w:pPr>
      <w:r w:rsidRPr="00BF441B">
        <w:rPr>
          <w:lang w:val="uk-UA" w:eastAsia="en-US"/>
        </w:rPr>
        <w:lastRenderedPageBreak/>
        <w:t>Продовження додатку 1</w:t>
      </w:r>
    </w:p>
    <w:p w14:paraId="1FDEFB28" w14:textId="77777777" w:rsidR="00D04DA1" w:rsidRPr="00BF441B" w:rsidRDefault="00D04DA1" w:rsidP="00D04DA1">
      <w:pPr>
        <w:jc w:val="right"/>
        <w:rPr>
          <w:lang w:val="uk-UA" w:eastAsia="en-US"/>
        </w:rPr>
      </w:pPr>
      <w:r w:rsidRPr="00BF441B">
        <w:rPr>
          <w:lang w:val="uk-UA" w:eastAsia="en-US"/>
        </w:rPr>
        <w:t>до реєстраційного посвідчення</w:t>
      </w:r>
    </w:p>
    <w:p w14:paraId="4855DF52" w14:textId="77777777" w:rsidR="00D04DA1" w:rsidRPr="00BF441B" w:rsidRDefault="00D04DA1" w:rsidP="00D04DA1">
      <w:pPr>
        <w:widowControl w:val="0"/>
        <w:ind w:right="-36" w:firstLine="567"/>
        <w:jc w:val="both"/>
        <w:rPr>
          <w:rFonts w:eastAsia="Cambria Math"/>
          <w:snapToGrid w:val="0"/>
          <w:lang w:val="uk-UA" w:eastAsia="en-US"/>
        </w:rPr>
      </w:pPr>
    </w:p>
    <w:p w14:paraId="21652E4F" w14:textId="77777777" w:rsidR="00D04DA1" w:rsidRPr="00BF441B" w:rsidRDefault="00D04DA1" w:rsidP="00D04DA1">
      <w:pPr>
        <w:widowControl w:val="0"/>
        <w:ind w:right="-36" w:firstLine="567"/>
        <w:jc w:val="both"/>
        <w:rPr>
          <w:rFonts w:eastAsia="Cambria Math"/>
          <w:snapToGrid w:val="0"/>
          <w:lang w:val="uk-UA" w:eastAsia="en-US"/>
        </w:rPr>
      </w:pPr>
      <w:r w:rsidRPr="00BF441B">
        <w:rPr>
          <w:rFonts w:eastAsia="Cambria Math"/>
          <w:snapToGrid w:val="0"/>
          <w:lang w:val="uk-UA" w:eastAsia="en-US"/>
        </w:rPr>
        <w:t>Безпечність застосування препарату для собак у самок під час вагітності та лактації, а також самцям, яких використовують для розведення, не досліджувалась, тому його застосування у вище зазначених групах тварин не рекомендовано.</w:t>
      </w:r>
    </w:p>
    <w:p w14:paraId="41AE62DE" w14:textId="77777777" w:rsidR="00D04DA1" w:rsidRPr="00BF441B" w:rsidRDefault="00D04DA1" w:rsidP="00D04DA1">
      <w:pPr>
        <w:widowControl w:val="0"/>
        <w:ind w:firstLine="567"/>
        <w:jc w:val="both"/>
        <w:rPr>
          <w:b/>
          <w:snapToGrid w:val="0"/>
          <w:lang w:val="uk-UA"/>
        </w:rPr>
      </w:pPr>
      <w:r w:rsidRPr="00BF441B">
        <w:rPr>
          <w:b/>
          <w:snapToGrid w:val="0"/>
          <w:lang w:val="uk-UA"/>
        </w:rPr>
        <w:t>5.7 Взаємодія з іншими засобами та інші форми взаємодії</w:t>
      </w:r>
    </w:p>
    <w:p w14:paraId="5A13B424" w14:textId="77777777" w:rsidR="00D04DA1" w:rsidRPr="00BF441B" w:rsidRDefault="00D04DA1" w:rsidP="00D04DA1">
      <w:pPr>
        <w:autoSpaceDE w:val="0"/>
        <w:autoSpaceDN w:val="0"/>
        <w:adjustRightInd w:val="0"/>
        <w:jc w:val="both"/>
      </w:pPr>
      <w:r w:rsidRPr="00BF441B">
        <w:rPr>
          <w:lang w:val="uk-UA"/>
        </w:rPr>
        <w:tab/>
      </w:r>
      <w:bookmarkStart w:id="5" w:name="_Hlk193995869"/>
      <w:r w:rsidRPr="00BF441B">
        <w:rPr>
          <w:lang w:val="uk-UA"/>
        </w:rPr>
        <w:t xml:space="preserve">Робенакоксиб не можна застосовувати одночасно з іншими НПЗЗ або глюкокортикостероїдами. Попереднє лікування іншими протизапальними лікарськими засобами може спричинити появу додаткових або посилення побічних ефектів, і, відповідно, необхідно  дотримуватися періоду без лікування цими речовинами щонайменше за 24 години до початку лікування робенакоксибом. </w:t>
      </w:r>
      <w:r w:rsidRPr="00BF441B">
        <w:t xml:space="preserve">Проте, період без лікування повинен враховувати фармакокінетичні властивості </w:t>
      </w:r>
      <w:r w:rsidRPr="00BF441B">
        <w:rPr>
          <w:lang w:val="uk-UA"/>
        </w:rPr>
        <w:t>лікарських засобів</w:t>
      </w:r>
      <w:r w:rsidRPr="00BF441B">
        <w:t>, які застосовували раніше.</w:t>
      </w:r>
    </w:p>
    <w:p w14:paraId="40F2AC95" w14:textId="77777777" w:rsidR="00D04DA1" w:rsidRPr="00BF441B" w:rsidRDefault="00D04DA1" w:rsidP="00D04DA1">
      <w:pPr>
        <w:autoSpaceDE w:val="0"/>
        <w:autoSpaceDN w:val="0"/>
        <w:adjustRightInd w:val="0"/>
        <w:jc w:val="both"/>
        <w:rPr>
          <w:lang w:val="uk-UA"/>
        </w:rPr>
      </w:pPr>
      <w:r w:rsidRPr="00BF441B">
        <w:rPr>
          <w:lang w:val="uk-UA"/>
        </w:rPr>
        <w:tab/>
        <w:t>Одночасне лікування лікарськими засобами, що діють на нирковий кровообіг, наприклад,  діуретики або інгібітори ангіотензинперетворювального ферменту (АПФ), потребує клінічного моніторингу. У здорових собак, які отримували або не отримували діуретик фуросемід, одночасне застосування робенакоксибу з інгібітором АПФ беназеприлом протягом 7-ми діб не було пов’язане з будь-яким негативним впливом на концентрацію альдостерону в плазмі, на активність реніну в плазмі або на швидкість клубочкової фільтрації. Для комбінованого лікування робенакоксибом і беназеприлом відсутні дані про безпеку для цільових тварин та загалом дані про ефективність.</w:t>
      </w:r>
    </w:p>
    <w:p w14:paraId="38D3B25C" w14:textId="77777777" w:rsidR="00D04DA1" w:rsidRPr="00BF441B" w:rsidRDefault="00D04DA1" w:rsidP="00D04DA1">
      <w:pPr>
        <w:autoSpaceDE w:val="0"/>
        <w:autoSpaceDN w:val="0"/>
        <w:adjustRightInd w:val="0"/>
        <w:jc w:val="both"/>
      </w:pPr>
      <w:r w:rsidRPr="00BF441B">
        <w:rPr>
          <w:lang w:val="uk-UA"/>
        </w:rPr>
        <w:tab/>
        <w:t>Необхідно</w:t>
      </w:r>
      <w:r w:rsidRPr="00BF441B">
        <w:t xml:space="preserve"> уникати одночасного застосування потенційно нефротоксичних лікарських засобів, оскільки існує підвищений ризик токсичного впливу на нирки.</w:t>
      </w:r>
    </w:p>
    <w:p w14:paraId="2C6E5248" w14:textId="77777777" w:rsidR="00D04DA1" w:rsidRPr="00BF441B" w:rsidRDefault="00D04DA1" w:rsidP="00D04DA1">
      <w:pPr>
        <w:autoSpaceDE w:val="0"/>
        <w:autoSpaceDN w:val="0"/>
        <w:adjustRightInd w:val="0"/>
        <w:jc w:val="both"/>
        <w:rPr>
          <w:lang w:val="uk-UA"/>
        </w:rPr>
      </w:pPr>
      <w:r w:rsidRPr="00BF441B">
        <w:rPr>
          <w:lang w:val="uk-UA"/>
        </w:rPr>
        <w:tab/>
        <w:t>Одночасне застосування інших активних речовин, які мають високий ступінь зв’язування з білками, може конкурувати з робенакоксибом і, таким чином, призводити до токсичних ефектів.</w:t>
      </w:r>
    </w:p>
    <w:bookmarkEnd w:id="5"/>
    <w:p w14:paraId="1F576C59" w14:textId="77777777" w:rsidR="00D04DA1" w:rsidRPr="00BF441B" w:rsidRDefault="00D04DA1" w:rsidP="00D04DA1">
      <w:pPr>
        <w:widowControl w:val="0"/>
        <w:ind w:firstLine="567"/>
        <w:jc w:val="both"/>
        <w:rPr>
          <w:b/>
          <w:snapToGrid w:val="0"/>
          <w:lang w:val="uk-UA"/>
        </w:rPr>
      </w:pPr>
      <w:r w:rsidRPr="00BF441B">
        <w:rPr>
          <w:b/>
          <w:snapToGrid w:val="0"/>
        </w:rPr>
        <w:t>5.</w:t>
      </w:r>
      <w:r w:rsidRPr="00BF441B">
        <w:rPr>
          <w:b/>
          <w:snapToGrid w:val="0"/>
          <w:lang w:val="uk-UA"/>
        </w:rPr>
        <w:t>8</w:t>
      </w:r>
      <w:r w:rsidRPr="00BF441B">
        <w:rPr>
          <w:b/>
          <w:snapToGrid w:val="0"/>
        </w:rPr>
        <w:t xml:space="preserve"> Дози і способи введення тваринам різного віку</w:t>
      </w:r>
    </w:p>
    <w:p w14:paraId="77E46427" w14:textId="77777777" w:rsidR="00D04DA1" w:rsidRPr="00BF441B" w:rsidRDefault="00D04DA1" w:rsidP="00D04DA1">
      <w:pPr>
        <w:jc w:val="both"/>
        <w:rPr>
          <w:lang w:val="uk-UA"/>
        </w:rPr>
      </w:pPr>
      <w:r w:rsidRPr="00BF441B">
        <w:rPr>
          <w:lang w:val="uk-UA"/>
        </w:rPr>
        <w:tab/>
        <w:t>Перорально індивідуально. Препарат не застосовувати з кормом, оскільки клінічні дослідження продемонстрували кращу ефективність робенакоксибу за остеоартриту, якщо його приймати без корму або принаймні за 30 хвилин до або після годівлі. Таблетки можуть бути розділені на рівні половинки.</w:t>
      </w:r>
    </w:p>
    <w:p w14:paraId="0FE3137F" w14:textId="77777777" w:rsidR="00D04DA1" w:rsidRPr="00BF441B" w:rsidRDefault="00D04DA1" w:rsidP="00D04DA1">
      <w:pPr>
        <w:jc w:val="both"/>
        <w:rPr>
          <w:b/>
          <w:i/>
          <w:lang w:val="uk-UA"/>
        </w:rPr>
      </w:pPr>
      <w:r w:rsidRPr="00BF441B">
        <w:rPr>
          <w:lang w:val="uk-UA"/>
        </w:rPr>
        <w:tab/>
      </w:r>
      <w:r w:rsidRPr="00BF441B">
        <w:rPr>
          <w:b/>
          <w:i/>
          <w:lang w:val="uk-UA"/>
        </w:rPr>
        <w:t>Остеоартрит.</w:t>
      </w:r>
    </w:p>
    <w:p w14:paraId="156FB533" w14:textId="77777777" w:rsidR="00D04DA1" w:rsidRPr="00BF441B" w:rsidRDefault="00D04DA1" w:rsidP="00D04DA1">
      <w:pPr>
        <w:ind w:firstLine="567"/>
        <w:jc w:val="both"/>
        <w:rPr>
          <w:lang w:val="uk-UA"/>
        </w:rPr>
      </w:pPr>
      <w:r w:rsidRPr="00BF441B">
        <w:rPr>
          <w:lang w:val="uk-UA"/>
        </w:rPr>
        <w:t xml:space="preserve">Застосовують у рекомендованій дозі 1 мг робенакоксибу на 1 кг маси тіла тварини з діапазоном 1-2 мг/кг, один раз на добу в один і той самий час щодня. </w:t>
      </w:r>
    </w:p>
    <w:p w14:paraId="798712A2" w14:textId="77777777" w:rsidR="00D04DA1" w:rsidRPr="00BF441B" w:rsidRDefault="00D04DA1" w:rsidP="00D04DA1">
      <w:pPr>
        <w:ind w:firstLine="567"/>
        <w:jc w:val="both"/>
        <w:rPr>
          <w:rFonts w:eastAsia="Cambria Math"/>
          <w:bCs/>
          <w:snapToGrid w:val="0"/>
          <w:lang w:val="uk-UA" w:eastAsia="uk-UA"/>
        </w:rPr>
      </w:pPr>
      <w:r w:rsidRPr="00BF441B">
        <w:rPr>
          <w:lang w:val="uk-UA"/>
        </w:rPr>
        <w:t>Кількість таблеток за вмістом діючої речовини у відповідності до маси тіла собаки становить</w:t>
      </w:r>
      <w:r w:rsidRPr="00BF441B">
        <w:rPr>
          <w:rFonts w:eastAsia="Cambria Math"/>
          <w:bCs/>
          <w:snapToGrid w:val="0"/>
          <w:lang w:val="uk-UA" w:eastAsia="uk-UA"/>
        </w:rPr>
        <w:t>:</w:t>
      </w:r>
    </w:p>
    <w:tbl>
      <w:tblPr>
        <w:tblW w:w="0" w:type="auto"/>
        <w:tblInd w:w="559" w:type="dxa"/>
        <w:tblCellMar>
          <w:left w:w="0" w:type="dxa"/>
          <w:right w:w="0" w:type="dxa"/>
        </w:tblCellMar>
        <w:tblLook w:val="04A0" w:firstRow="1" w:lastRow="0" w:firstColumn="1" w:lastColumn="0" w:noHBand="0" w:noVBand="1"/>
      </w:tblPr>
      <w:tblGrid>
        <w:gridCol w:w="2268"/>
        <w:gridCol w:w="2268"/>
        <w:gridCol w:w="2410"/>
        <w:gridCol w:w="2268"/>
      </w:tblGrid>
      <w:tr w:rsidR="00BF441B" w:rsidRPr="00BF441B" w14:paraId="50D8BF41" w14:textId="77777777" w:rsidTr="000A75B2">
        <w:tc>
          <w:tcPr>
            <w:tcW w:w="2268" w:type="dxa"/>
            <w:vMerge w:val="restart"/>
            <w:tcBorders>
              <w:top w:val="single" w:sz="6" w:space="0" w:color="000000"/>
              <w:left w:val="single" w:sz="6" w:space="0" w:color="000000"/>
              <w:right w:val="single" w:sz="6" w:space="0" w:color="000000"/>
            </w:tcBorders>
          </w:tcPr>
          <w:p w14:paraId="4DE2B807" w14:textId="77777777" w:rsidR="00D04DA1" w:rsidRPr="00BF441B" w:rsidRDefault="00D04DA1" w:rsidP="000A75B2">
            <w:pPr>
              <w:jc w:val="center"/>
              <w:rPr>
                <w:b/>
                <w:lang w:val="uk-UA"/>
              </w:rPr>
            </w:pPr>
            <w:r w:rsidRPr="00BF441B">
              <w:rPr>
                <w:b/>
                <w:bCs/>
                <w:lang w:eastAsia="uk-UA"/>
              </w:rPr>
              <w:t>Маса тіла тварини</w:t>
            </w:r>
            <w:r w:rsidRPr="00BF441B">
              <w:rPr>
                <w:b/>
                <w:bCs/>
                <w:lang w:val="uk-UA" w:eastAsia="uk-UA"/>
              </w:rPr>
              <w:t>, кг</w:t>
            </w:r>
          </w:p>
        </w:tc>
        <w:tc>
          <w:tcPr>
            <w:tcW w:w="6946" w:type="dxa"/>
            <w:gridSpan w:val="3"/>
            <w:tcBorders>
              <w:top w:val="single" w:sz="6" w:space="0" w:color="000000"/>
              <w:left w:val="single" w:sz="6" w:space="0" w:color="000000"/>
              <w:bottom w:val="single" w:sz="6" w:space="0" w:color="000000"/>
              <w:right w:val="single" w:sz="6" w:space="0" w:color="000000"/>
            </w:tcBorders>
          </w:tcPr>
          <w:p w14:paraId="0DBAC308" w14:textId="77777777" w:rsidR="00D04DA1" w:rsidRPr="00BF441B" w:rsidRDefault="00D04DA1" w:rsidP="000A75B2">
            <w:pPr>
              <w:jc w:val="center"/>
              <w:rPr>
                <w:b/>
                <w:bCs/>
                <w:lang w:val="uk-UA" w:eastAsia="uk-UA"/>
              </w:rPr>
            </w:pPr>
            <w:r w:rsidRPr="00BF441B">
              <w:rPr>
                <w:b/>
                <w:bCs/>
                <w:lang w:eastAsia="uk-UA"/>
              </w:rPr>
              <w:t xml:space="preserve">Кількість таблеток на один прийом </w:t>
            </w:r>
            <w:r w:rsidRPr="00BF441B">
              <w:rPr>
                <w:b/>
                <w:bCs/>
                <w:lang w:val="uk-UA" w:eastAsia="uk-UA"/>
              </w:rPr>
              <w:t>відповідно до кількості діючої речовини в 1 таблетці</w:t>
            </w:r>
          </w:p>
        </w:tc>
      </w:tr>
      <w:tr w:rsidR="00BF441B" w:rsidRPr="00BF441B" w14:paraId="0DAFC965" w14:textId="77777777" w:rsidTr="000A75B2">
        <w:tc>
          <w:tcPr>
            <w:tcW w:w="2268" w:type="dxa"/>
            <w:vMerge/>
            <w:tcBorders>
              <w:left w:val="single" w:sz="6" w:space="0" w:color="000000"/>
              <w:bottom w:val="single" w:sz="6" w:space="0" w:color="000000"/>
              <w:right w:val="single" w:sz="6" w:space="0" w:color="000000"/>
            </w:tcBorders>
          </w:tcPr>
          <w:p w14:paraId="262E070B" w14:textId="77777777" w:rsidR="00D04DA1" w:rsidRPr="00BF441B" w:rsidRDefault="00D04DA1" w:rsidP="000A75B2">
            <w:pPr>
              <w:jc w:val="center"/>
              <w:rPr>
                <w:b/>
                <w:bCs/>
                <w:lang w:eastAsia="uk-UA"/>
              </w:rPr>
            </w:pPr>
          </w:p>
        </w:tc>
        <w:tc>
          <w:tcPr>
            <w:tcW w:w="2268" w:type="dxa"/>
            <w:tcBorders>
              <w:top w:val="single" w:sz="6" w:space="0" w:color="000000"/>
              <w:left w:val="single" w:sz="6" w:space="0" w:color="000000"/>
              <w:bottom w:val="single" w:sz="6" w:space="0" w:color="000000"/>
              <w:right w:val="single" w:sz="6" w:space="0" w:color="000000"/>
            </w:tcBorders>
          </w:tcPr>
          <w:p w14:paraId="4ED0F016" w14:textId="77777777" w:rsidR="00D04DA1" w:rsidRPr="00BF441B" w:rsidRDefault="00D04DA1" w:rsidP="000A75B2">
            <w:pPr>
              <w:jc w:val="center"/>
              <w:rPr>
                <w:b/>
                <w:bCs/>
                <w:lang w:eastAsia="uk-UA"/>
              </w:rPr>
            </w:pPr>
            <w:r w:rsidRPr="00BF441B">
              <w:rPr>
                <w:b/>
                <w:bCs/>
                <w:lang w:val="uk-UA" w:eastAsia="uk-UA"/>
              </w:rPr>
              <w:t xml:space="preserve">РОБЕНОР для собак </w:t>
            </w:r>
            <w:r w:rsidRPr="00BF441B">
              <w:rPr>
                <w:b/>
                <w:bCs/>
                <w:lang w:eastAsia="uk-UA"/>
              </w:rPr>
              <w:t>10 мг</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975395" w14:textId="77777777" w:rsidR="00D04DA1" w:rsidRPr="00BF441B" w:rsidRDefault="00D04DA1" w:rsidP="000A75B2">
            <w:pPr>
              <w:jc w:val="center"/>
              <w:rPr>
                <w:b/>
                <w:bCs/>
                <w:lang w:eastAsia="uk-UA"/>
              </w:rPr>
            </w:pPr>
            <w:r w:rsidRPr="00BF441B">
              <w:rPr>
                <w:b/>
                <w:bCs/>
                <w:lang w:eastAsia="uk-UA"/>
              </w:rPr>
              <w:t>РОБЕНОР для собак 20 мг</w:t>
            </w:r>
          </w:p>
        </w:tc>
        <w:tc>
          <w:tcPr>
            <w:tcW w:w="2268" w:type="dxa"/>
            <w:tcBorders>
              <w:top w:val="single" w:sz="6" w:space="0" w:color="000000"/>
              <w:left w:val="single" w:sz="6" w:space="0" w:color="000000"/>
              <w:bottom w:val="single" w:sz="6" w:space="0" w:color="000000"/>
              <w:right w:val="single" w:sz="6" w:space="0" w:color="000000"/>
            </w:tcBorders>
            <w:vAlign w:val="center"/>
          </w:tcPr>
          <w:p w14:paraId="086E61EF" w14:textId="77777777" w:rsidR="00D04DA1" w:rsidRPr="00BF441B" w:rsidRDefault="00D04DA1" w:rsidP="000A75B2">
            <w:pPr>
              <w:jc w:val="center"/>
              <w:rPr>
                <w:b/>
                <w:bCs/>
                <w:lang w:eastAsia="uk-UA"/>
              </w:rPr>
            </w:pPr>
            <w:r w:rsidRPr="00BF441B">
              <w:rPr>
                <w:b/>
                <w:bCs/>
                <w:lang w:eastAsia="uk-UA"/>
              </w:rPr>
              <w:t>РОБЕНОР для собак 40 мг</w:t>
            </w:r>
          </w:p>
        </w:tc>
      </w:tr>
      <w:tr w:rsidR="00BF441B" w:rsidRPr="00BF441B" w14:paraId="1580AF30"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2BCDEAAE" w14:textId="77777777" w:rsidR="00D04DA1" w:rsidRPr="00BF441B" w:rsidRDefault="00D04DA1" w:rsidP="000A75B2">
            <w:pPr>
              <w:jc w:val="center"/>
            </w:pPr>
            <w:r w:rsidRPr="00BF441B">
              <w:t>&gt; 2,5 до &lt; 5</w:t>
            </w:r>
          </w:p>
        </w:tc>
        <w:tc>
          <w:tcPr>
            <w:tcW w:w="2268" w:type="dxa"/>
            <w:tcBorders>
              <w:top w:val="single" w:sz="6" w:space="0" w:color="000000"/>
              <w:left w:val="single" w:sz="6" w:space="0" w:color="000000"/>
              <w:bottom w:val="single" w:sz="6" w:space="0" w:color="000000"/>
              <w:right w:val="single" w:sz="6" w:space="0" w:color="000000"/>
            </w:tcBorders>
            <w:vAlign w:val="center"/>
          </w:tcPr>
          <w:p w14:paraId="15B0D786" w14:textId="77777777" w:rsidR="00D04DA1" w:rsidRPr="00BF441B" w:rsidRDefault="00D04DA1" w:rsidP="000A75B2">
            <w:pPr>
              <w:jc w:val="center"/>
              <w:rPr>
                <w:lang w:eastAsia="uk-UA"/>
              </w:rPr>
            </w:pPr>
            <w:r w:rsidRPr="00BF441B">
              <w:rPr>
                <w:lang w:eastAsia="uk-UA"/>
              </w:rPr>
              <w:t>0,5 таблетки</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490001" w14:textId="77777777" w:rsidR="00D04DA1" w:rsidRPr="00BF441B" w:rsidRDefault="00D04DA1" w:rsidP="000A75B2">
            <w:pPr>
              <w:jc w:val="center"/>
              <w:rPr>
                <w:lang w:eastAsia="uk-UA"/>
              </w:rP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5791F569" w14:textId="77777777" w:rsidR="00D04DA1" w:rsidRPr="00BF441B" w:rsidRDefault="00D04DA1" w:rsidP="000A75B2">
            <w:pPr>
              <w:jc w:val="center"/>
              <w:rPr>
                <w:lang w:eastAsia="uk-UA"/>
              </w:rPr>
            </w:pPr>
            <w:r w:rsidRPr="00BF441B">
              <w:rPr>
                <w:lang w:eastAsia="uk-UA"/>
              </w:rPr>
              <w:t>–</w:t>
            </w:r>
          </w:p>
        </w:tc>
      </w:tr>
      <w:tr w:rsidR="00BF441B" w:rsidRPr="00BF441B" w14:paraId="28973715"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04CD8973" w14:textId="77777777" w:rsidR="00D04DA1" w:rsidRPr="00BF441B" w:rsidRDefault="00D04DA1" w:rsidP="000A75B2">
            <w:pPr>
              <w:jc w:val="center"/>
            </w:pPr>
            <w:r w:rsidRPr="00BF441B">
              <w:t>5 до &lt; 10</w:t>
            </w:r>
          </w:p>
        </w:tc>
        <w:tc>
          <w:tcPr>
            <w:tcW w:w="2268" w:type="dxa"/>
            <w:tcBorders>
              <w:top w:val="single" w:sz="6" w:space="0" w:color="000000"/>
              <w:left w:val="single" w:sz="6" w:space="0" w:color="000000"/>
              <w:bottom w:val="single" w:sz="6" w:space="0" w:color="000000"/>
              <w:right w:val="single" w:sz="6" w:space="0" w:color="000000"/>
            </w:tcBorders>
            <w:vAlign w:val="center"/>
          </w:tcPr>
          <w:p w14:paraId="5C1EBF6A" w14:textId="77777777" w:rsidR="00D04DA1" w:rsidRPr="00BF441B" w:rsidRDefault="00D04DA1" w:rsidP="000A75B2">
            <w:pPr>
              <w:jc w:val="center"/>
              <w:rPr>
                <w:lang w:eastAsia="uk-UA"/>
              </w:rPr>
            </w:pPr>
            <w:r w:rsidRPr="00BF441B">
              <w:rPr>
                <w:lang w:eastAsia="uk-UA"/>
              </w:rPr>
              <w:t>1 таблетка</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A24005" w14:textId="77777777" w:rsidR="00D04DA1" w:rsidRPr="00BF441B" w:rsidRDefault="00D04DA1" w:rsidP="000A75B2">
            <w:pPr>
              <w:jc w:val="center"/>
              <w:rPr>
                <w:lang w:eastAsia="uk-UA"/>
              </w:rP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457EB29E" w14:textId="77777777" w:rsidR="00D04DA1" w:rsidRPr="00BF441B" w:rsidRDefault="00D04DA1" w:rsidP="000A75B2">
            <w:pPr>
              <w:jc w:val="center"/>
              <w:rPr>
                <w:lang w:eastAsia="uk-UA"/>
              </w:rPr>
            </w:pPr>
            <w:r w:rsidRPr="00BF441B">
              <w:rPr>
                <w:lang w:eastAsia="uk-UA"/>
              </w:rPr>
              <w:t>–</w:t>
            </w:r>
          </w:p>
        </w:tc>
      </w:tr>
      <w:tr w:rsidR="00BF441B" w:rsidRPr="00BF441B" w14:paraId="7D1BB92D"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4C28F8BF" w14:textId="77777777" w:rsidR="00D04DA1" w:rsidRPr="00BF441B" w:rsidRDefault="00D04DA1" w:rsidP="000A75B2">
            <w:pPr>
              <w:jc w:val="center"/>
            </w:pPr>
            <w:r w:rsidRPr="00BF441B">
              <w:t>10 до &lt; 20</w:t>
            </w:r>
          </w:p>
        </w:tc>
        <w:tc>
          <w:tcPr>
            <w:tcW w:w="2268" w:type="dxa"/>
            <w:tcBorders>
              <w:top w:val="single" w:sz="6" w:space="0" w:color="000000"/>
              <w:left w:val="single" w:sz="6" w:space="0" w:color="000000"/>
              <w:bottom w:val="single" w:sz="6" w:space="0" w:color="000000"/>
              <w:right w:val="single" w:sz="6" w:space="0" w:color="000000"/>
            </w:tcBorders>
            <w:vAlign w:val="center"/>
          </w:tcPr>
          <w:p w14:paraId="5ADB823D" w14:textId="77777777" w:rsidR="00D04DA1" w:rsidRPr="00BF441B" w:rsidRDefault="00D04DA1" w:rsidP="000A75B2">
            <w:pPr>
              <w:jc w:val="center"/>
              <w:rPr>
                <w:lang w:eastAsia="uk-UA"/>
              </w:rPr>
            </w:pPr>
            <w:r w:rsidRPr="00BF441B">
              <w:rPr>
                <w:lang w:eastAsia="uk-U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20499C" w14:textId="77777777" w:rsidR="00D04DA1" w:rsidRPr="00BF441B" w:rsidRDefault="00D04DA1" w:rsidP="000A75B2">
            <w:pPr>
              <w:jc w:val="center"/>
              <w:rPr>
                <w:lang w:eastAsia="uk-UA"/>
              </w:rPr>
            </w:pPr>
            <w:r w:rsidRPr="00BF441B">
              <w:rPr>
                <w:lang w:eastAsia="uk-UA"/>
              </w:rPr>
              <w:t>1 таблетка</w:t>
            </w:r>
          </w:p>
        </w:tc>
        <w:tc>
          <w:tcPr>
            <w:tcW w:w="2268" w:type="dxa"/>
            <w:tcBorders>
              <w:top w:val="single" w:sz="6" w:space="0" w:color="000000"/>
              <w:left w:val="single" w:sz="6" w:space="0" w:color="000000"/>
              <w:bottom w:val="single" w:sz="6" w:space="0" w:color="000000"/>
              <w:right w:val="single" w:sz="6" w:space="0" w:color="000000"/>
            </w:tcBorders>
          </w:tcPr>
          <w:p w14:paraId="1BB4AB48" w14:textId="77777777" w:rsidR="00D04DA1" w:rsidRPr="00BF441B" w:rsidRDefault="00D04DA1" w:rsidP="000A75B2">
            <w:pPr>
              <w:jc w:val="center"/>
              <w:rPr>
                <w:lang w:eastAsia="uk-UA"/>
              </w:rPr>
            </w:pPr>
            <w:r w:rsidRPr="00BF441B">
              <w:rPr>
                <w:lang w:eastAsia="uk-UA"/>
              </w:rPr>
              <w:t>–</w:t>
            </w:r>
          </w:p>
        </w:tc>
      </w:tr>
      <w:tr w:rsidR="00BF441B" w:rsidRPr="00BF441B" w14:paraId="528CD29D"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2B9BF340" w14:textId="77777777" w:rsidR="00D04DA1" w:rsidRPr="00BF441B" w:rsidRDefault="00D04DA1" w:rsidP="000A75B2">
            <w:pPr>
              <w:jc w:val="center"/>
            </w:pPr>
            <w:r w:rsidRPr="00BF441B">
              <w:t>20 до &lt; 40</w:t>
            </w:r>
          </w:p>
        </w:tc>
        <w:tc>
          <w:tcPr>
            <w:tcW w:w="2268" w:type="dxa"/>
            <w:tcBorders>
              <w:top w:val="single" w:sz="6" w:space="0" w:color="000000"/>
              <w:left w:val="single" w:sz="6" w:space="0" w:color="000000"/>
              <w:bottom w:val="single" w:sz="6" w:space="0" w:color="000000"/>
              <w:right w:val="single" w:sz="6" w:space="0" w:color="000000"/>
            </w:tcBorders>
          </w:tcPr>
          <w:p w14:paraId="18CFBA7D" w14:textId="77777777" w:rsidR="00D04DA1" w:rsidRPr="00BF441B" w:rsidRDefault="00D04DA1" w:rsidP="000A75B2">
            <w:pPr>
              <w:jc w:val="center"/>
            </w:pPr>
            <w:r w:rsidRPr="00BF441B">
              <w:rPr>
                <w:lang w:eastAsia="uk-U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3217E3" w14:textId="77777777" w:rsidR="00D04DA1" w:rsidRPr="00BF441B" w:rsidRDefault="00D04DA1" w:rsidP="000A75B2">
            <w:pPr>
              <w:jc w:val="cente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40CB4E6F" w14:textId="77777777" w:rsidR="00D04DA1" w:rsidRPr="00BF441B" w:rsidRDefault="00D04DA1" w:rsidP="000A75B2">
            <w:pPr>
              <w:jc w:val="center"/>
            </w:pPr>
            <w:r w:rsidRPr="00BF441B">
              <w:rPr>
                <w:lang w:eastAsia="uk-UA"/>
              </w:rPr>
              <w:t>1 таблетка</w:t>
            </w:r>
          </w:p>
        </w:tc>
      </w:tr>
      <w:tr w:rsidR="00BF441B" w:rsidRPr="00BF441B" w14:paraId="57495937"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7F78A626" w14:textId="77777777" w:rsidR="00D04DA1" w:rsidRPr="00BF441B" w:rsidRDefault="00D04DA1" w:rsidP="000A75B2">
            <w:pPr>
              <w:jc w:val="center"/>
            </w:pPr>
            <w:r w:rsidRPr="00BF441B">
              <w:t>40 до 80</w:t>
            </w:r>
          </w:p>
        </w:tc>
        <w:tc>
          <w:tcPr>
            <w:tcW w:w="2268" w:type="dxa"/>
            <w:tcBorders>
              <w:top w:val="single" w:sz="6" w:space="0" w:color="000000"/>
              <w:left w:val="single" w:sz="6" w:space="0" w:color="000000"/>
              <w:bottom w:val="single" w:sz="6" w:space="0" w:color="000000"/>
              <w:right w:val="single" w:sz="6" w:space="0" w:color="000000"/>
            </w:tcBorders>
          </w:tcPr>
          <w:p w14:paraId="528B0D32" w14:textId="77777777" w:rsidR="00D04DA1" w:rsidRPr="00BF441B" w:rsidRDefault="00D04DA1" w:rsidP="000A75B2">
            <w:pPr>
              <w:jc w:val="center"/>
            </w:pPr>
            <w:r w:rsidRPr="00BF441B">
              <w:rPr>
                <w:lang w:eastAsia="uk-U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8607B6" w14:textId="77777777" w:rsidR="00D04DA1" w:rsidRPr="00BF441B" w:rsidRDefault="00D04DA1" w:rsidP="000A75B2">
            <w:pPr>
              <w:jc w:val="cente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1FE2B513" w14:textId="77777777" w:rsidR="00D04DA1" w:rsidRPr="00BF441B" w:rsidRDefault="00D04DA1" w:rsidP="000A75B2">
            <w:pPr>
              <w:jc w:val="center"/>
            </w:pPr>
            <w:r w:rsidRPr="00BF441B">
              <w:rPr>
                <w:lang w:eastAsia="uk-UA"/>
              </w:rPr>
              <w:t>2 таблетки</w:t>
            </w:r>
          </w:p>
        </w:tc>
      </w:tr>
    </w:tbl>
    <w:p w14:paraId="33F07F7A" w14:textId="77777777" w:rsidR="00D04DA1" w:rsidRPr="00BF441B" w:rsidRDefault="00D04DA1" w:rsidP="00D04DA1">
      <w:pPr>
        <w:autoSpaceDE w:val="0"/>
        <w:autoSpaceDN w:val="0"/>
        <w:adjustRightInd w:val="0"/>
        <w:jc w:val="both"/>
      </w:pPr>
      <w:r w:rsidRPr="00BF441B">
        <w:rPr>
          <w:lang w:val="uk-UA"/>
        </w:rPr>
        <w:tab/>
      </w:r>
      <w:r w:rsidRPr="00BF441B">
        <w:t>Клінічна відповідь зазвичай спостерігається впродовж тижня. Лікування необхідн</w:t>
      </w:r>
      <w:r w:rsidRPr="00BF441B">
        <w:rPr>
          <w:lang w:val="uk-UA"/>
        </w:rPr>
        <w:t>о</w:t>
      </w:r>
      <w:r w:rsidRPr="00BF441B">
        <w:t xml:space="preserve"> припинити через 10 </w:t>
      </w:r>
      <w:r w:rsidRPr="00BF441B">
        <w:rPr>
          <w:lang w:val="uk-UA"/>
        </w:rPr>
        <w:t>діб</w:t>
      </w:r>
      <w:r w:rsidRPr="00BF441B">
        <w:t>, якщо клінічне покращення</w:t>
      </w:r>
      <w:r w:rsidRPr="00BF441B">
        <w:rPr>
          <w:lang w:val="uk-UA"/>
        </w:rPr>
        <w:t xml:space="preserve"> </w:t>
      </w:r>
      <w:r w:rsidRPr="00BF441B">
        <w:t>не спостерігається.</w:t>
      </w:r>
    </w:p>
    <w:p w14:paraId="2C5745C3" w14:textId="77777777" w:rsidR="00D04DA1" w:rsidRPr="00BF441B" w:rsidRDefault="00D04DA1" w:rsidP="00D04DA1">
      <w:pPr>
        <w:autoSpaceDE w:val="0"/>
        <w:autoSpaceDN w:val="0"/>
        <w:adjustRightInd w:val="0"/>
        <w:jc w:val="both"/>
        <w:rPr>
          <w:bCs/>
          <w:lang w:val="uk-UA"/>
        </w:rPr>
      </w:pPr>
      <w:r w:rsidRPr="00BF441B">
        <w:rPr>
          <w:bCs/>
          <w:lang w:val="uk-UA"/>
        </w:rPr>
        <w:tab/>
        <w:t>За тривалого лікування, коли спостерігається клінічна відповідь, дозу можна скорегувати до найменшої ефективної індивідуальної дози, враховуючи, що ступінь болю та запалення, пов’язаних із хронічним остеоартритом, з часом може змінюватися. Регулярний контроль повинен проводитися лікарем ветеринарної медицини.</w:t>
      </w:r>
    </w:p>
    <w:p w14:paraId="2B1C0689" w14:textId="77777777" w:rsidR="00D04DA1" w:rsidRPr="00BF441B" w:rsidRDefault="00D04DA1" w:rsidP="00D04DA1">
      <w:pPr>
        <w:autoSpaceDE w:val="0"/>
        <w:autoSpaceDN w:val="0"/>
        <w:adjustRightInd w:val="0"/>
        <w:rPr>
          <w:b/>
          <w:bCs/>
          <w:i/>
          <w:lang w:val="uk-UA"/>
        </w:rPr>
      </w:pPr>
      <w:r w:rsidRPr="00BF441B">
        <w:rPr>
          <w:b/>
          <w:bCs/>
          <w:lang w:val="uk-UA"/>
        </w:rPr>
        <w:tab/>
      </w:r>
      <w:r w:rsidRPr="00BF441B">
        <w:rPr>
          <w:b/>
          <w:bCs/>
          <w:i/>
          <w:lang w:val="uk-UA"/>
        </w:rPr>
        <w:t>Хірургічні втручання.</w:t>
      </w:r>
    </w:p>
    <w:p w14:paraId="6D336E30" w14:textId="77777777" w:rsidR="00D04DA1" w:rsidRPr="00BF441B" w:rsidRDefault="00D04DA1" w:rsidP="00D04DA1">
      <w:pPr>
        <w:autoSpaceDE w:val="0"/>
        <w:autoSpaceDN w:val="0"/>
        <w:adjustRightInd w:val="0"/>
        <w:ind w:firstLine="567"/>
        <w:rPr>
          <w:lang w:val="uk-UA"/>
        </w:rPr>
      </w:pPr>
      <w:r w:rsidRPr="00BF441B">
        <w:rPr>
          <w:bCs/>
          <w:lang w:val="uk-UA"/>
        </w:rPr>
        <w:t>Р</w:t>
      </w:r>
      <w:r w:rsidRPr="00BF441B">
        <w:rPr>
          <w:lang w:val="uk-UA"/>
        </w:rPr>
        <w:t>екомендована доза становить 2 мг робенакоксибу  на 1 кг маси тіла з діапазоном 2 - 4 мг/кг. Призначати в якості одноразового прийому перорально перед операцією.</w:t>
      </w:r>
    </w:p>
    <w:p w14:paraId="69171F05" w14:textId="77777777" w:rsidR="00D04DA1" w:rsidRPr="00BF441B" w:rsidRDefault="00D04DA1" w:rsidP="00D04DA1">
      <w:pPr>
        <w:jc w:val="right"/>
        <w:rPr>
          <w:lang w:val="uk-UA" w:eastAsia="en-US"/>
        </w:rPr>
      </w:pPr>
      <w:r w:rsidRPr="00BF441B">
        <w:rPr>
          <w:lang w:val="uk-UA" w:eastAsia="en-US"/>
        </w:rPr>
        <w:lastRenderedPageBreak/>
        <w:t>Продовження додатку 1</w:t>
      </w:r>
    </w:p>
    <w:p w14:paraId="370DFF20" w14:textId="77777777" w:rsidR="00D04DA1" w:rsidRPr="00BF441B" w:rsidRDefault="00D04DA1" w:rsidP="00D04DA1">
      <w:pPr>
        <w:jc w:val="right"/>
        <w:rPr>
          <w:lang w:val="uk-UA" w:eastAsia="en-US"/>
        </w:rPr>
      </w:pPr>
      <w:r w:rsidRPr="00BF441B">
        <w:rPr>
          <w:lang w:val="uk-UA" w:eastAsia="en-US"/>
        </w:rPr>
        <w:t xml:space="preserve">                                         до реєстраційного посвідчення</w:t>
      </w:r>
      <w:r w:rsidRPr="00BF441B">
        <w:rPr>
          <w:lang w:val="uk-UA"/>
        </w:rPr>
        <w:tab/>
      </w:r>
    </w:p>
    <w:p w14:paraId="2F012F37" w14:textId="77777777" w:rsidR="00D04DA1" w:rsidRPr="00BF441B" w:rsidRDefault="00D04DA1" w:rsidP="00D04DA1">
      <w:pPr>
        <w:autoSpaceDE w:val="0"/>
        <w:autoSpaceDN w:val="0"/>
        <w:adjustRightInd w:val="0"/>
        <w:ind w:firstLine="567"/>
        <w:rPr>
          <w:lang w:val="uk-UA"/>
        </w:rPr>
      </w:pPr>
    </w:p>
    <w:p w14:paraId="5B7D1A7C" w14:textId="77777777" w:rsidR="00D04DA1" w:rsidRPr="00BF441B" w:rsidRDefault="00D04DA1" w:rsidP="00D04DA1">
      <w:pPr>
        <w:autoSpaceDE w:val="0"/>
        <w:autoSpaceDN w:val="0"/>
        <w:adjustRightInd w:val="0"/>
        <w:ind w:firstLine="567"/>
        <w:rPr>
          <w:lang w:val="uk-UA"/>
        </w:rPr>
      </w:pPr>
      <w:r w:rsidRPr="00BF441B">
        <w:rPr>
          <w:lang w:val="uk-UA"/>
        </w:rPr>
        <w:t xml:space="preserve">Препарат необхідно приймати без корму (натще) принаймні за 30 хвилин до операції. </w:t>
      </w:r>
    </w:p>
    <w:p w14:paraId="696DE827" w14:textId="77777777" w:rsidR="00D04DA1" w:rsidRPr="00BF441B" w:rsidRDefault="00D04DA1" w:rsidP="00D04DA1">
      <w:pPr>
        <w:autoSpaceDE w:val="0"/>
        <w:autoSpaceDN w:val="0"/>
        <w:adjustRightInd w:val="0"/>
        <w:ind w:firstLine="567"/>
        <w:rPr>
          <w:lang w:val="uk-UA"/>
        </w:rPr>
      </w:pPr>
      <w:r w:rsidRPr="00BF441B">
        <w:rPr>
          <w:lang w:val="uk-UA"/>
        </w:rPr>
        <w:t xml:space="preserve">Після операції можна продовжити лікування один раз на добу ще впродовж двох діб. </w:t>
      </w:r>
    </w:p>
    <w:p w14:paraId="38700998" w14:textId="77777777" w:rsidR="00D04DA1" w:rsidRPr="00BF441B" w:rsidRDefault="00D04DA1" w:rsidP="00D04DA1">
      <w:pPr>
        <w:pStyle w:val="a3"/>
        <w:keepNext/>
        <w:ind w:firstLine="567"/>
        <w:rPr>
          <w:b w:val="0"/>
          <w:lang w:val="ru-RU"/>
        </w:rPr>
      </w:pPr>
      <w:r w:rsidRPr="00BF441B">
        <w:rPr>
          <w:b w:val="0"/>
          <w:lang w:val="ru-RU"/>
        </w:rPr>
        <w:t xml:space="preserve">Кількість таблеток </w:t>
      </w:r>
      <w:r w:rsidRPr="00BF441B">
        <w:rPr>
          <w:b w:val="0"/>
        </w:rPr>
        <w:t>за</w:t>
      </w:r>
      <w:r w:rsidRPr="00BF441B">
        <w:rPr>
          <w:b w:val="0"/>
          <w:bCs/>
        </w:rPr>
        <w:t xml:space="preserve"> вмістом діючої речовини у відповідності до маси тіла собаки</w:t>
      </w:r>
      <w:r w:rsidRPr="00BF441B">
        <w:t xml:space="preserve"> </w:t>
      </w:r>
      <w:r w:rsidRPr="00BF441B">
        <w:rPr>
          <w:b w:val="0"/>
          <w:lang w:val="ru-RU"/>
        </w:rPr>
        <w:t>за операцій становить:</w:t>
      </w:r>
    </w:p>
    <w:tbl>
      <w:tblPr>
        <w:tblW w:w="0" w:type="auto"/>
        <w:tblInd w:w="559" w:type="dxa"/>
        <w:tblCellMar>
          <w:left w:w="0" w:type="dxa"/>
          <w:right w:w="0" w:type="dxa"/>
        </w:tblCellMar>
        <w:tblLook w:val="04A0" w:firstRow="1" w:lastRow="0" w:firstColumn="1" w:lastColumn="0" w:noHBand="0" w:noVBand="1"/>
      </w:tblPr>
      <w:tblGrid>
        <w:gridCol w:w="2268"/>
        <w:gridCol w:w="2268"/>
        <w:gridCol w:w="2410"/>
        <w:gridCol w:w="2268"/>
      </w:tblGrid>
      <w:tr w:rsidR="00BF441B" w:rsidRPr="00BF441B" w14:paraId="15453516" w14:textId="77777777" w:rsidTr="000A75B2">
        <w:tc>
          <w:tcPr>
            <w:tcW w:w="2268" w:type="dxa"/>
            <w:vMerge w:val="restart"/>
            <w:tcBorders>
              <w:top w:val="single" w:sz="6" w:space="0" w:color="000000"/>
              <w:left w:val="single" w:sz="6" w:space="0" w:color="000000"/>
              <w:right w:val="single" w:sz="6" w:space="0" w:color="000000"/>
            </w:tcBorders>
          </w:tcPr>
          <w:p w14:paraId="3D2CD580" w14:textId="77777777" w:rsidR="00D04DA1" w:rsidRPr="00BF441B" w:rsidRDefault="00D04DA1" w:rsidP="000A75B2">
            <w:pPr>
              <w:jc w:val="center"/>
              <w:rPr>
                <w:b/>
                <w:lang w:val="uk-UA"/>
              </w:rPr>
            </w:pPr>
            <w:r w:rsidRPr="00BF441B">
              <w:rPr>
                <w:b/>
                <w:bCs/>
                <w:lang w:eastAsia="uk-UA"/>
              </w:rPr>
              <w:t>Маса тіла тварини</w:t>
            </w:r>
            <w:r w:rsidRPr="00BF441B">
              <w:rPr>
                <w:b/>
                <w:bCs/>
                <w:lang w:val="uk-UA" w:eastAsia="uk-UA"/>
              </w:rPr>
              <w:t>, кг</w:t>
            </w:r>
          </w:p>
        </w:tc>
        <w:tc>
          <w:tcPr>
            <w:tcW w:w="6946" w:type="dxa"/>
            <w:gridSpan w:val="3"/>
            <w:tcBorders>
              <w:top w:val="single" w:sz="6" w:space="0" w:color="000000"/>
              <w:left w:val="single" w:sz="6" w:space="0" w:color="000000"/>
              <w:bottom w:val="single" w:sz="6" w:space="0" w:color="000000"/>
              <w:right w:val="single" w:sz="6" w:space="0" w:color="000000"/>
            </w:tcBorders>
          </w:tcPr>
          <w:p w14:paraId="7C075BB3" w14:textId="77777777" w:rsidR="00D04DA1" w:rsidRPr="00BF441B" w:rsidRDefault="00D04DA1" w:rsidP="000A75B2">
            <w:pPr>
              <w:jc w:val="center"/>
              <w:rPr>
                <w:b/>
                <w:bCs/>
                <w:lang w:val="uk-UA" w:eastAsia="uk-UA"/>
              </w:rPr>
            </w:pPr>
            <w:r w:rsidRPr="00BF441B">
              <w:rPr>
                <w:b/>
                <w:bCs/>
                <w:lang w:eastAsia="uk-UA"/>
              </w:rPr>
              <w:t xml:space="preserve">Кількість таблеток </w:t>
            </w:r>
            <w:r w:rsidRPr="00BF441B">
              <w:rPr>
                <w:b/>
                <w:bCs/>
                <w:lang w:val="uk-UA" w:eastAsia="uk-UA"/>
              </w:rPr>
              <w:t xml:space="preserve">відповідно до кількості діючої речовини в </w:t>
            </w:r>
          </w:p>
          <w:p w14:paraId="4155D7D1" w14:textId="77777777" w:rsidR="00D04DA1" w:rsidRPr="00BF441B" w:rsidRDefault="00D04DA1" w:rsidP="000A75B2">
            <w:pPr>
              <w:jc w:val="center"/>
              <w:rPr>
                <w:b/>
                <w:bCs/>
                <w:lang w:val="uk-UA" w:eastAsia="uk-UA"/>
              </w:rPr>
            </w:pPr>
            <w:r w:rsidRPr="00BF441B">
              <w:rPr>
                <w:b/>
                <w:bCs/>
                <w:lang w:val="uk-UA" w:eastAsia="uk-UA"/>
              </w:rPr>
              <w:t>1 таблетці</w:t>
            </w:r>
          </w:p>
        </w:tc>
      </w:tr>
      <w:tr w:rsidR="00BF441B" w:rsidRPr="00BF441B" w14:paraId="0D68BA8B" w14:textId="77777777" w:rsidTr="000A75B2">
        <w:tc>
          <w:tcPr>
            <w:tcW w:w="2268" w:type="dxa"/>
            <w:vMerge/>
            <w:tcBorders>
              <w:left w:val="single" w:sz="6" w:space="0" w:color="000000"/>
              <w:bottom w:val="single" w:sz="6" w:space="0" w:color="000000"/>
              <w:right w:val="single" w:sz="6" w:space="0" w:color="000000"/>
            </w:tcBorders>
          </w:tcPr>
          <w:p w14:paraId="1B123D66" w14:textId="77777777" w:rsidR="00D04DA1" w:rsidRPr="00BF441B" w:rsidRDefault="00D04DA1" w:rsidP="000A75B2">
            <w:pPr>
              <w:jc w:val="center"/>
              <w:rPr>
                <w:b/>
                <w:bCs/>
                <w:lang w:eastAsia="uk-UA"/>
              </w:rPr>
            </w:pPr>
          </w:p>
        </w:tc>
        <w:tc>
          <w:tcPr>
            <w:tcW w:w="2268" w:type="dxa"/>
            <w:tcBorders>
              <w:top w:val="single" w:sz="6" w:space="0" w:color="000000"/>
              <w:left w:val="single" w:sz="6" w:space="0" w:color="000000"/>
              <w:bottom w:val="single" w:sz="6" w:space="0" w:color="000000"/>
              <w:right w:val="single" w:sz="6" w:space="0" w:color="000000"/>
            </w:tcBorders>
          </w:tcPr>
          <w:p w14:paraId="25CA3292" w14:textId="77777777" w:rsidR="00D04DA1" w:rsidRPr="00BF441B" w:rsidRDefault="00D04DA1" w:rsidP="000A75B2">
            <w:pPr>
              <w:jc w:val="center"/>
              <w:rPr>
                <w:b/>
                <w:bCs/>
                <w:lang w:eastAsia="uk-UA"/>
              </w:rPr>
            </w:pPr>
            <w:r w:rsidRPr="00BF441B">
              <w:rPr>
                <w:b/>
                <w:bCs/>
                <w:lang w:val="uk-UA" w:eastAsia="uk-UA"/>
              </w:rPr>
              <w:t xml:space="preserve">РОБЕНОР для собак </w:t>
            </w:r>
            <w:r w:rsidRPr="00BF441B">
              <w:rPr>
                <w:b/>
                <w:bCs/>
                <w:lang w:eastAsia="uk-UA"/>
              </w:rPr>
              <w:t>10 мг</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02CD93" w14:textId="77777777" w:rsidR="00D04DA1" w:rsidRPr="00BF441B" w:rsidRDefault="00D04DA1" w:rsidP="000A75B2">
            <w:pPr>
              <w:jc w:val="center"/>
              <w:rPr>
                <w:b/>
                <w:bCs/>
                <w:lang w:eastAsia="uk-UA"/>
              </w:rPr>
            </w:pPr>
            <w:r w:rsidRPr="00BF441B">
              <w:rPr>
                <w:b/>
                <w:bCs/>
                <w:lang w:eastAsia="uk-UA"/>
              </w:rPr>
              <w:t>РОБЕНОР для собак 20 мг</w:t>
            </w:r>
          </w:p>
        </w:tc>
        <w:tc>
          <w:tcPr>
            <w:tcW w:w="2268" w:type="dxa"/>
            <w:tcBorders>
              <w:top w:val="single" w:sz="6" w:space="0" w:color="000000"/>
              <w:left w:val="single" w:sz="6" w:space="0" w:color="000000"/>
              <w:bottom w:val="single" w:sz="6" w:space="0" w:color="000000"/>
              <w:right w:val="single" w:sz="6" w:space="0" w:color="000000"/>
            </w:tcBorders>
            <w:vAlign w:val="center"/>
          </w:tcPr>
          <w:p w14:paraId="5B9565A1" w14:textId="77777777" w:rsidR="00D04DA1" w:rsidRPr="00BF441B" w:rsidRDefault="00D04DA1" w:rsidP="000A75B2">
            <w:pPr>
              <w:jc w:val="center"/>
              <w:rPr>
                <w:b/>
                <w:bCs/>
                <w:lang w:eastAsia="uk-UA"/>
              </w:rPr>
            </w:pPr>
            <w:r w:rsidRPr="00BF441B">
              <w:rPr>
                <w:b/>
                <w:bCs/>
                <w:lang w:eastAsia="uk-UA"/>
              </w:rPr>
              <w:t>РОБЕНОР для собак 40 мг</w:t>
            </w:r>
          </w:p>
        </w:tc>
      </w:tr>
      <w:tr w:rsidR="00BF441B" w:rsidRPr="00BF441B" w14:paraId="55434FC7"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05C90CF0" w14:textId="77777777" w:rsidR="00D04DA1" w:rsidRPr="00BF441B" w:rsidRDefault="00D04DA1" w:rsidP="000A75B2">
            <w:pPr>
              <w:jc w:val="center"/>
              <w:rPr>
                <w:rFonts w:eastAsia="Cambria Math"/>
                <w:snapToGrid w:val="0"/>
                <w:lang w:val="uk-UA" w:eastAsia="uk-UA"/>
              </w:rPr>
            </w:pPr>
            <w:r w:rsidRPr="00BF441B">
              <w:rPr>
                <w:rFonts w:eastAsia="Cambria Math"/>
                <w:snapToGrid w:val="0"/>
                <w:lang w:val="uk-UA" w:eastAsia="uk-UA"/>
              </w:rPr>
              <w:t>&gt; 2,5 до &lt; 5</w:t>
            </w:r>
          </w:p>
        </w:tc>
        <w:tc>
          <w:tcPr>
            <w:tcW w:w="2268" w:type="dxa"/>
            <w:tcBorders>
              <w:top w:val="single" w:sz="6" w:space="0" w:color="000000"/>
              <w:left w:val="single" w:sz="6" w:space="0" w:color="000000"/>
              <w:bottom w:val="single" w:sz="6" w:space="0" w:color="000000"/>
              <w:right w:val="single" w:sz="6" w:space="0" w:color="000000"/>
            </w:tcBorders>
            <w:vAlign w:val="center"/>
          </w:tcPr>
          <w:p w14:paraId="0D020DA3" w14:textId="77777777" w:rsidR="00D04DA1" w:rsidRPr="00BF441B" w:rsidRDefault="00D04DA1" w:rsidP="000A75B2">
            <w:pPr>
              <w:jc w:val="center"/>
              <w:rPr>
                <w:lang w:eastAsia="uk-UA"/>
              </w:rPr>
            </w:pPr>
            <w:r w:rsidRPr="00BF441B">
              <w:rPr>
                <w:lang w:eastAsia="uk-UA"/>
              </w:rPr>
              <w:t>1 таблетка</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D1CD68" w14:textId="77777777" w:rsidR="00D04DA1" w:rsidRPr="00BF441B" w:rsidRDefault="00D04DA1" w:rsidP="000A75B2">
            <w:pPr>
              <w:jc w:val="center"/>
              <w:rPr>
                <w:lang w:eastAsia="uk-UA"/>
              </w:rP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65C1C22E" w14:textId="77777777" w:rsidR="00D04DA1" w:rsidRPr="00BF441B" w:rsidRDefault="00D04DA1" w:rsidP="000A75B2">
            <w:pPr>
              <w:jc w:val="center"/>
              <w:rPr>
                <w:lang w:eastAsia="uk-UA"/>
              </w:rPr>
            </w:pPr>
            <w:r w:rsidRPr="00BF441B">
              <w:rPr>
                <w:lang w:eastAsia="uk-UA"/>
              </w:rPr>
              <w:t>–</w:t>
            </w:r>
          </w:p>
        </w:tc>
      </w:tr>
      <w:tr w:rsidR="00BF441B" w:rsidRPr="00BF441B" w14:paraId="12C9E08A"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125862CE" w14:textId="77777777" w:rsidR="00D04DA1" w:rsidRPr="00BF441B" w:rsidRDefault="00D04DA1" w:rsidP="000A75B2">
            <w:pPr>
              <w:jc w:val="center"/>
              <w:rPr>
                <w:rFonts w:eastAsia="Cambria Math"/>
                <w:snapToGrid w:val="0"/>
                <w:lang w:val="uk-UA" w:eastAsia="uk-UA"/>
              </w:rPr>
            </w:pPr>
            <w:r w:rsidRPr="00BF441B">
              <w:rPr>
                <w:rFonts w:eastAsia="Cambria Math"/>
                <w:snapToGrid w:val="0"/>
                <w:lang w:val="uk-UA" w:eastAsia="uk-UA"/>
              </w:rPr>
              <w:t>5 до &lt; 10</w:t>
            </w:r>
          </w:p>
        </w:tc>
        <w:tc>
          <w:tcPr>
            <w:tcW w:w="2268" w:type="dxa"/>
            <w:tcBorders>
              <w:top w:val="single" w:sz="6" w:space="0" w:color="000000"/>
              <w:left w:val="single" w:sz="6" w:space="0" w:color="000000"/>
              <w:bottom w:val="single" w:sz="6" w:space="0" w:color="000000"/>
              <w:right w:val="single" w:sz="6" w:space="0" w:color="000000"/>
            </w:tcBorders>
          </w:tcPr>
          <w:p w14:paraId="63D346AF" w14:textId="77777777" w:rsidR="00D04DA1" w:rsidRPr="00BF441B" w:rsidRDefault="00D04DA1" w:rsidP="000A75B2">
            <w:pPr>
              <w:jc w:val="center"/>
            </w:pPr>
            <w:r w:rsidRPr="00BF441B">
              <w:rPr>
                <w:lang w:eastAsia="uk-U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4B9D36" w14:textId="77777777" w:rsidR="00D04DA1" w:rsidRPr="00BF441B" w:rsidRDefault="00D04DA1" w:rsidP="000A75B2">
            <w:pPr>
              <w:jc w:val="center"/>
            </w:pPr>
            <w:r w:rsidRPr="00BF441B">
              <w:rPr>
                <w:lang w:eastAsia="uk-UA"/>
              </w:rPr>
              <w:t>1 таблетка</w:t>
            </w:r>
          </w:p>
        </w:tc>
        <w:tc>
          <w:tcPr>
            <w:tcW w:w="2268" w:type="dxa"/>
            <w:tcBorders>
              <w:top w:val="single" w:sz="6" w:space="0" w:color="000000"/>
              <w:left w:val="single" w:sz="6" w:space="0" w:color="000000"/>
              <w:bottom w:val="single" w:sz="6" w:space="0" w:color="000000"/>
              <w:right w:val="single" w:sz="6" w:space="0" w:color="000000"/>
            </w:tcBorders>
          </w:tcPr>
          <w:p w14:paraId="5EDB0133" w14:textId="77777777" w:rsidR="00D04DA1" w:rsidRPr="00BF441B" w:rsidRDefault="00D04DA1" w:rsidP="000A75B2">
            <w:pPr>
              <w:jc w:val="center"/>
            </w:pPr>
            <w:r w:rsidRPr="00BF441B">
              <w:rPr>
                <w:lang w:eastAsia="uk-UA"/>
              </w:rPr>
              <w:t>–</w:t>
            </w:r>
          </w:p>
        </w:tc>
      </w:tr>
      <w:tr w:rsidR="00BF441B" w:rsidRPr="00BF441B" w14:paraId="7AC91B92"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65B7CDE5" w14:textId="77777777" w:rsidR="00D04DA1" w:rsidRPr="00BF441B" w:rsidRDefault="00D04DA1" w:rsidP="000A75B2">
            <w:pPr>
              <w:jc w:val="center"/>
              <w:rPr>
                <w:rFonts w:eastAsia="Cambria Math"/>
                <w:snapToGrid w:val="0"/>
                <w:lang w:val="uk-UA" w:eastAsia="uk-UA"/>
              </w:rPr>
            </w:pPr>
            <w:r w:rsidRPr="00BF441B">
              <w:rPr>
                <w:rFonts w:eastAsia="Cambria Math"/>
                <w:snapToGrid w:val="0"/>
                <w:lang w:val="uk-UA" w:eastAsia="uk-UA"/>
              </w:rPr>
              <w:t>10 до &lt; 20</w:t>
            </w:r>
          </w:p>
        </w:tc>
        <w:tc>
          <w:tcPr>
            <w:tcW w:w="2268" w:type="dxa"/>
            <w:tcBorders>
              <w:top w:val="single" w:sz="6" w:space="0" w:color="000000"/>
              <w:left w:val="single" w:sz="6" w:space="0" w:color="000000"/>
              <w:bottom w:val="single" w:sz="6" w:space="0" w:color="000000"/>
              <w:right w:val="single" w:sz="6" w:space="0" w:color="000000"/>
            </w:tcBorders>
          </w:tcPr>
          <w:p w14:paraId="5762BA22" w14:textId="77777777" w:rsidR="00D04DA1" w:rsidRPr="00BF441B" w:rsidRDefault="00D04DA1" w:rsidP="000A75B2">
            <w:pPr>
              <w:jc w:val="center"/>
            </w:pPr>
            <w:r w:rsidRPr="00BF441B">
              <w:rPr>
                <w:lang w:eastAsia="uk-U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8B926E" w14:textId="77777777" w:rsidR="00D04DA1" w:rsidRPr="00BF441B" w:rsidRDefault="00D04DA1" w:rsidP="000A75B2">
            <w:pPr>
              <w:jc w:val="cente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627D44E6" w14:textId="77777777" w:rsidR="00D04DA1" w:rsidRPr="00BF441B" w:rsidRDefault="00D04DA1" w:rsidP="000A75B2">
            <w:pPr>
              <w:jc w:val="center"/>
            </w:pPr>
            <w:r w:rsidRPr="00BF441B">
              <w:t>1 таблетка</w:t>
            </w:r>
          </w:p>
        </w:tc>
      </w:tr>
      <w:tr w:rsidR="00BF441B" w:rsidRPr="00BF441B" w14:paraId="28BC837A"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1033AA8D" w14:textId="77777777" w:rsidR="00D04DA1" w:rsidRPr="00BF441B" w:rsidRDefault="00D04DA1" w:rsidP="000A75B2">
            <w:pPr>
              <w:jc w:val="center"/>
              <w:rPr>
                <w:rFonts w:eastAsia="Cambria Math"/>
                <w:snapToGrid w:val="0"/>
                <w:lang w:val="uk-UA" w:eastAsia="uk-UA"/>
              </w:rPr>
            </w:pPr>
            <w:r w:rsidRPr="00BF441B">
              <w:rPr>
                <w:rFonts w:eastAsia="Cambria Math"/>
                <w:snapToGrid w:val="0"/>
                <w:lang w:val="uk-UA" w:eastAsia="uk-UA"/>
              </w:rPr>
              <w:t>20 до &lt; 40</w:t>
            </w:r>
          </w:p>
        </w:tc>
        <w:tc>
          <w:tcPr>
            <w:tcW w:w="2268" w:type="dxa"/>
            <w:tcBorders>
              <w:top w:val="single" w:sz="6" w:space="0" w:color="000000"/>
              <w:left w:val="single" w:sz="6" w:space="0" w:color="000000"/>
              <w:bottom w:val="single" w:sz="6" w:space="0" w:color="000000"/>
              <w:right w:val="single" w:sz="6" w:space="0" w:color="000000"/>
            </w:tcBorders>
          </w:tcPr>
          <w:p w14:paraId="2922961A" w14:textId="77777777" w:rsidR="00D04DA1" w:rsidRPr="00BF441B" w:rsidRDefault="00D04DA1" w:rsidP="000A75B2">
            <w:pPr>
              <w:jc w:val="center"/>
            </w:pPr>
            <w:r w:rsidRPr="00BF441B">
              <w:rPr>
                <w:lang w:eastAsia="uk-U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E523BC" w14:textId="77777777" w:rsidR="00D04DA1" w:rsidRPr="00BF441B" w:rsidRDefault="00D04DA1" w:rsidP="000A75B2">
            <w:pPr>
              <w:jc w:val="cente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2798B74B" w14:textId="77777777" w:rsidR="00D04DA1" w:rsidRPr="00BF441B" w:rsidRDefault="00D04DA1" w:rsidP="000A75B2">
            <w:pPr>
              <w:jc w:val="center"/>
            </w:pPr>
            <w:r w:rsidRPr="00BF441B">
              <w:t>2 таблетки</w:t>
            </w:r>
          </w:p>
        </w:tc>
      </w:tr>
      <w:tr w:rsidR="00BF441B" w:rsidRPr="00BF441B" w14:paraId="4A49447C"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630CA0E1" w14:textId="77777777" w:rsidR="00D04DA1" w:rsidRPr="00BF441B" w:rsidRDefault="00D04DA1" w:rsidP="000A75B2">
            <w:pPr>
              <w:jc w:val="center"/>
              <w:rPr>
                <w:rFonts w:eastAsia="Cambria Math"/>
                <w:snapToGrid w:val="0"/>
                <w:lang w:val="uk-UA" w:eastAsia="uk-UA"/>
              </w:rPr>
            </w:pPr>
            <w:r w:rsidRPr="00BF441B">
              <w:rPr>
                <w:rFonts w:eastAsia="Cambria Math"/>
                <w:snapToGrid w:val="0"/>
                <w:lang w:val="uk-UA" w:eastAsia="uk-UA"/>
              </w:rPr>
              <w:t>40 до &lt; 60</w:t>
            </w:r>
          </w:p>
        </w:tc>
        <w:tc>
          <w:tcPr>
            <w:tcW w:w="2268" w:type="dxa"/>
            <w:tcBorders>
              <w:top w:val="single" w:sz="6" w:space="0" w:color="000000"/>
              <w:left w:val="single" w:sz="6" w:space="0" w:color="000000"/>
              <w:bottom w:val="single" w:sz="6" w:space="0" w:color="000000"/>
              <w:right w:val="single" w:sz="6" w:space="0" w:color="000000"/>
            </w:tcBorders>
          </w:tcPr>
          <w:p w14:paraId="7684D577" w14:textId="77777777" w:rsidR="00D04DA1" w:rsidRPr="00BF441B" w:rsidRDefault="00D04DA1" w:rsidP="000A75B2">
            <w:pPr>
              <w:jc w:val="center"/>
            </w:pPr>
            <w:r w:rsidRPr="00BF441B">
              <w:rPr>
                <w:lang w:eastAsia="uk-UA"/>
              </w:rPr>
              <w:t>–</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FE2E7D" w14:textId="77777777" w:rsidR="00D04DA1" w:rsidRPr="00BF441B" w:rsidRDefault="00D04DA1" w:rsidP="000A75B2">
            <w:pPr>
              <w:jc w:val="center"/>
            </w:pPr>
            <w:r w:rsidRPr="00BF441B">
              <w:rPr>
                <w:lang w:eastAsia="uk-UA"/>
              </w:rPr>
              <w:t>–</w:t>
            </w:r>
          </w:p>
        </w:tc>
        <w:tc>
          <w:tcPr>
            <w:tcW w:w="2268" w:type="dxa"/>
            <w:tcBorders>
              <w:top w:val="single" w:sz="6" w:space="0" w:color="000000"/>
              <w:left w:val="single" w:sz="6" w:space="0" w:color="000000"/>
              <w:bottom w:val="single" w:sz="6" w:space="0" w:color="000000"/>
              <w:right w:val="single" w:sz="6" w:space="0" w:color="000000"/>
            </w:tcBorders>
          </w:tcPr>
          <w:p w14:paraId="124A5FC8" w14:textId="77777777" w:rsidR="00D04DA1" w:rsidRPr="00BF441B" w:rsidRDefault="00D04DA1" w:rsidP="000A75B2">
            <w:pPr>
              <w:jc w:val="center"/>
            </w:pPr>
            <w:r w:rsidRPr="00BF441B">
              <w:t>3 таблетки</w:t>
            </w:r>
          </w:p>
        </w:tc>
      </w:tr>
      <w:tr w:rsidR="00BF441B" w:rsidRPr="00BF441B" w14:paraId="033ADF9A" w14:textId="77777777" w:rsidTr="000A75B2">
        <w:tc>
          <w:tcPr>
            <w:tcW w:w="2268" w:type="dxa"/>
            <w:tcBorders>
              <w:top w:val="single" w:sz="6" w:space="0" w:color="000000"/>
              <w:left w:val="single" w:sz="6" w:space="0" w:color="000000"/>
              <w:bottom w:val="single" w:sz="6" w:space="0" w:color="000000"/>
              <w:right w:val="single" w:sz="6" w:space="0" w:color="000000"/>
            </w:tcBorders>
          </w:tcPr>
          <w:p w14:paraId="77D5382A" w14:textId="77777777" w:rsidR="00D04DA1" w:rsidRPr="00BF441B" w:rsidRDefault="00D04DA1" w:rsidP="000A75B2">
            <w:pPr>
              <w:jc w:val="center"/>
              <w:rPr>
                <w:rFonts w:eastAsia="Cambria Math"/>
                <w:snapToGrid w:val="0"/>
                <w:lang w:val="uk-UA" w:eastAsia="uk-UA"/>
              </w:rPr>
            </w:pPr>
            <w:r w:rsidRPr="00BF441B">
              <w:rPr>
                <w:rFonts w:eastAsia="Cambria Math"/>
                <w:snapToGrid w:val="0"/>
                <w:lang w:val="uk-UA" w:eastAsia="uk-UA"/>
              </w:rPr>
              <w:t>60 до 80</w:t>
            </w:r>
          </w:p>
        </w:tc>
        <w:tc>
          <w:tcPr>
            <w:tcW w:w="2268" w:type="dxa"/>
            <w:tcBorders>
              <w:top w:val="single" w:sz="6" w:space="0" w:color="000000"/>
              <w:left w:val="single" w:sz="6" w:space="0" w:color="000000"/>
              <w:bottom w:val="single" w:sz="6" w:space="0" w:color="000000"/>
              <w:right w:val="single" w:sz="6" w:space="0" w:color="000000"/>
            </w:tcBorders>
          </w:tcPr>
          <w:p w14:paraId="49D88B68" w14:textId="77777777" w:rsidR="00D04DA1" w:rsidRPr="00BF441B" w:rsidRDefault="00D04DA1" w:rsidP="000A75B2">
            <w:pPr>
              <w:jc w:val="center"/>
              <w:rPr>
                <w:lang w:eastAsia="uk-UA"/>
              </w:rPr>
            </w:pP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690135" w14:textId="77777777" w:rsidR="00D04DA1" w:rsidRPr="00BF441B" w:rsidRDefault="00D04DA1" w:rsidP="000A75B2">
            <w:pPr>
              <w:jc w:val="center"/>
              <w:rPr>
                <w:lang w:eastAsia="uk-UA"/>
              </w:rPr>
            </w:pPr>
          </w:p>
        </w:tc>
        <w:tc>
          <w:tcPr>
            <w:tcW w:w="2268" w:type="dxa"/>
            <w:tcBorders>
              <w:top w:val="single" w:sz="6" w:space="0" w:color="000000"/>
              <w:left w:val="single" w:sz="6" w:space="0" w:color="000000"/>
              <w:bottom w:val="single" w:sz="6" w:space="0" w:color="000000"/>
              <w:right w:val="single" w:sz="6" w:space="0" w:color="000000"/>
            </w:tcBorders>
          </w:tcPr>
          <w:p w14:paraId="3E5FFB5C" w14:textId="77777777" w:rsidR="00D04DA1" w:rsidRPr="00BF441B" w:rsidRDefault="00D04DA1" w:rsidP="000A75B2">
            <w:pPr>
              <w:jc w:val="center"/>
            </w:pPr>
            <w:r w:rsidRPr="00BF441B">
              <w:t>4 таблетки</w:t>
            </w:r>
          </w:p>
        </w:tc>
      </w:tr>
    </w:tbl>
    <w:p w14:paraId="04A0CEFF" w14:textId="77777777" w:rsidR="00D04DA1" w:rsidRPr="00BF441B" w:rsidRDefault="00D04DA1" w:rsidP="00D04DA1">
      <w:pPr>
        <w:rPr>
          <w:b/>
          <w:snapToGrid w:val="0"/>
        </w:rPr>
      </w:pPr>
      <w:r w:rsidRPr="00BF441B">
        <w:rPr>
          <w:lang w:val="uk-UA"/>
        </w:rPr>
        <w:tab/>
      </w:r>
      <w:r w:rsidRPr="00BF441B">
        <w:rPr>
          <w:b/>
          <w:snapToGrid w:val="0"/>
        </w:rPr>
        <w:t>5.</w:t>
      </w:r>
      <w:r w:rsidRPr="00BF441B">
        <w:rPr>
          <w:b/>
          <w:snapToGrid w:val="0"/>
          <w:lang w:val="uk-UA"/>
        </w:rPr>
        <w:t>9</w:t>
      </w:r>
      <w:r w:rsidRPr="00BF441B">
        <w:rPr>
          <w:b/>
          <w:snapToGrid w:val="0"/>
        </w:rPr>
        <w:t xml:space="preserve"> Передозування (симптоми, невідкладні заходи, антидоти)</w:t>
      </w:r>
    </w:p>
    <w:p w14:paraId="2831BB05" w14:textId="77777777" w:rsidR="00D04DA1" w:rsidRPr="00BF441B" w:rsidRDefault="00D04DA1" w:rsidP="00D04DA1">
      <w:pPr>
        <w:jc w:val="both"/>
        <w:rPr>
          <w:lang w:val="uk-UA"/>
        </w:rPr>
      </w:pPr>
      <w:r w:rsidRPr="00BF441B">
        <w:rPr>
          <w:lang w:val="uk-UA"/>
        </w:rPr>
        <w:tab/>
        <w:t>У здорових молодих собак віком 5-6 місяців, пероральне застосування робенакоксибу у високих дозах  (4, 6 або 10 мг/кг/добу протягом 6 тижнів) не спричинило жодних ознак токсичності, в тому числі, ознак токсичності з боку травного каналу, нирок або печінки, і не впливало на час згортання крові. Робенакоксиб також не мав негативного впливу на хрящі та суглоби.</w:t>
      </w:r>
    </w:p>
    <w:p w14:paraId="16E089FF" w14:textId="77777777" w:rsidR="00D04DA1" w:rsidRPr="00BF441B" w:rsidRDefault="00D04DA1" w:rsidP="00D04DA1">
      <w:pPr>
        <w:jc w:val="both"/>
        <w:rPr>
          <w:lang w:val="uk-UA"/>
        </w:rPr>
      </w:pPr>
      <w:r w:rsidRPr="00BF441B">
        <w:rPr>
          <w:lang w:val="uk-UA"/>
        </w:rPr>
        <w:tab/>
        <w:t>Як і будь-який НПЗЗ, передозування може спричинити побічні ефекти з боку травного каналу, нирок або печінки в чутливих собак. Специфічного антидоту немає. Рекомендується симптоматична підтримуюча терапія, що включає введення захисних засобів для травного каналу та інфузію ізотонічного розчину натрію хлору.</w:t>
      </w:r>
    </w:p>
    <w:p w14:paraId="3F1AC867" w14:textId="77777777" w:rsidR="00D04DA1" w:rsidRPr="00BF441B" w:rsidRDefault="00D04DA1" w:rsidP="00D04DA1">
      <w:pPr>
        <w:jc w:val="both"/>
        <w:rPr>
          <w:lang w:val="uk-UA"/>
        </w:rPr>
      </w:pPr>
      <w:r w:rsidRPr="00BF441B">
        <w:rPr>
          <w:lang w:val="uk-UA"/>
        </w:rPr>
        <w:tab/>
        <w:t>Застосування таблеток робенакоксибу у безпородних собак за доз, що перевищували максимальну рекомендовану дозу (2,0, 4,0 та 6,0 плюс 4,0, 8,0 та 12,0 мг робенакоксибу на 1 кг перорально), призводило до запалення, застійних явищ або крововиливів у дванадцятипалій, порожній та сліпій кишках. Не було виявлено жодного значущого впливу на масу тіла, час кровотечі або ознак токсичності для нирок або печінки.</w:t>
      </w:r>
    </w:p>
    <w:p w14:paraId="0186E190" w14:textId="77777777" w:rsidR="00D04DA1" w:rsidRPr="00BF441B" w:rsidRDefault="00D04DA1" w:rsidP="00D04DA1">
      <w:pPr>
        <w:widowControl w:val="0"/>
        <w:ind w:firstLine="567"/>
        <w:jc w:val="both"/>
        <w:rPr>
          <w:b/>
          <w:snapToGrid w:val="0"/>
        </w:rPr>
      </w:pPr>
      <w:r w:rsidRPr="00BF441B">
        <w:rPr>
          <w:b/>
          <w:snapToGrid w:val="0"/>
        </w:rPr>
        <w:t>5.</w:t>
      </w:r>
      <w:r w:rsidRPr="00BF441B">
        <w:rPr>
          <w:b/>
          <w:snapToGrid w:val="0"/>
          <w:lang w:val="uk-UA"/>
        </w:rPr>
        <w:t>10</w:t>
      </w:r>
      <w:r w:rsidRPr="00BF441B">
        <w:rPr>
          <w:b/>
          <w:snapToGrid w:val="0"/>
        </w:rPr>
        <w:t xml:space="preserve"> Спеціальні застереження</w:t>
      </w:r>
    </w:p>
    <w:p w14:paraId="2E880DB5" w14:textId="77777777" w:rsidR="00D04DA1" w:rsidRPr="00BF441B" w:rsidRDefault="00D04DA1" w:rsidP="00D04DA1">
      <w:pPr>
        <w:rPr>
          <w:lang w:val="uk-UA"/>
        </w:rPr>
      </w:pPr>
      <w:r w:rsidRPr="00BF441B">
        <w:rPr>
          <w:lang w:val="uk-UA"/>
        </w:rPr>
        <w:tab/>
      </w:r>
      <w:bookmarkStart w:id="6" w:name="_Hlk193995888"/>
      <w:r w:rsidRPr="00BF441B">
        <w:rPr>
          <w:lang w:val="uk-UA"/>
        </w:rPr>
        <w:t>Дотримуватися рекомендованого дозування.</w:t>
      </w:r>
    </w:p>
    <w:bookmarkEnd w:id="6"/>
    <w:p w14:paraId="34829BAB" w14:textId="77777777" w:rsidR="00D04DA1" w:rsidRPr="00BF441B" w:rsidRDefault="00D04DA1" w:rsidP="00D04DA1">
      <w:pPr>
        <w:widowControl w:val="0"/>
        <w:ind w:firstLine="567"/>
        <w:jc w:val="both"/>
        <w:rPr>
          <w:b/>
          <w:snapToGrid w:val="0"/>
        </w:rPr>
      </w:pPr>
      <w:r w:rsidRPr="00BF441B">
        <w:rPr>
          <w:b/>
          <w:snapToGrid w:val="0"/>
        </w:rPr>
        <w:t>5.1</w:t>
      </w:r>
      <w:r w:rsidRPr="00BF441B">
        <w:rPr>
          <w:b/>
          <w:snapToGrid w:val="0"/>
          <w:lang w:val="uk-UA"/>
        </w:rPr>
        <w:t>1</w:t>
      </w:r>
      <w:r w:rsidRPr="00BF441B">
        <w:rPr>
          <w:b/>
          <w:snapToGrid w:val="0"/>
        </w:rPr>
        <w:t xml:space="preserve"> Період виведення (каренції)</w:t>
      </w:r>
    </w:p>
    <w:p w14:paraId="119AB5F8" w14:textId="77777777" w:rsidR="00D04DA1" w:rsidRPr="00BF441B" w:rsidRDefault="00D04DA1" w:rsidP="00D04DA1">
      <w:pPr>
        <w:widowControl w:val="0"/>
        <w:ind w:firstLine="567"/>
        <w:jc w:val="both"/>
        <w:rPr>
          <w:snapToGrid w:val="0"/>
          <w:lang w:val="uk-UA"/>
        </w:rPr>
      </w:pPr>
      <w:r w:rsidRPr="00BF441B">
        <w:rPr>
          <w:snapToGrid w:val="0"/>
        </w:rPr>
        <w:t>Для непродуктивних тварин не визначають</w:t>
      </w:r>
      <w:r w:rsidRPr="00BF441B">
        <w:rPr>
          <w:snapToGrid w:val="0"/>
          <w:lang w:val="uk-UA"/>
        </w:rPr>
        <w:t>.</w:t>
      </w:r>
    </w:p>
    <w:p w14:paraId="7743A7D2" w14:textId="77777777" w:rsidR="00D04DA1" w:rsidRPr="00BF441B" w:rsidRDefault="00D04DA1" w:rsidP="00D04DA1">
      <w:pPr>
        <w:ind w:firstLine="567"/>
        <w:rPr>
          <w:b/>
          <w:lang w:val="uk-UA"/>
        </w:rPr>
      </w:pPr>
      <w:r w:rsidRPr="00BF441B">
        <w:rPr>
          <w:b/>
        </w:rPr>
        <w:t>5.1</w:t>
      </w:r>
      <w:r w:rsidRPr="00BF441B">
        <w:rPr>
          <w:b/>
          <w:lang w:val="uk-UA"/>
        </w:rPr>
        <w:t>2</w:t>
      </w:r>
      <w:r w:rsidRPr="00BF441B">
        <w:rPr>
          <w:b/>
        </w:rPr>
        <w:t xml:space="preserve"> Спеціальні застереження для осіб і обслуговуючого персоналу</w:t>
      </w:r>
    </w:p>
    <w:p w14:paraId="798A18BC" w14:textId="77777777" w:rsidR="00D04DA1" w:rsidRPr="00BF441B" w:rsidRDefault="00D04DA1" w:rsidP="00D04DA1">
      <w:pPr>
        <w:jc w:val="both"/>
        <w:rPr>
          <w:lang w:val="uk-UA"/>
        </w:rPr>
      </w:pPr>
      <w:r w:rsidRPr="00BF441B">
        <w:rPr>
          <w:lang w:val="uk-UA"/>
        </w:rPr>
        <w:tab/>
        <w:t>Під час роботи з ветеринарним лікарським препаратом необхідно дотримуватися основних правил гігієни та безпеки, що прийняті при роботі з ветеринарними препаратами.</w:t>
      </w:r>
    </w:p>
    <w:p w14:paraId="41E3ED0B" w14:textId="77777777" w:rsidR="00D04DA1" w:rsidRPr="00BF441B" w:rsidRDefault="00D04DA1" w:rsidP="00D04DA1">
      <w:pPr>
        <w:ind w:firstLine="567"/>
        <w:jc w:val="both"/>
        <w:rPr>
          <w:lang w:val="uk-UA"/>
        </w:rPr>
      </w:pPr>
      <w:r w:rsidRPr="00BF441B">
        <w:rPr>
          <w:lang w:val="uk-UA"/>
        </w:rPr>
        <w:t>Для вагітних жінок, особливо на ранніх термінах вагітності, тривалий вплив на шкіру підвищує ризик передчасного закриття артеріальної протоки у плода. Вагітним жінкам необхідно бути особливо обережними, щоб уникнути випадкового впливу.</w:t>
      </w:r>
    </w:p>
    <w:p w14:paraId="60098581" w14:textId="77777777" w:rsidR="00D04DA1" w:rsidRPr="00BF441B" w:rsidRDefault="00D04DA1" w:rsidP="00D04DA1">
      <w:pPr>
        <w:ind w:firstLine="567"/>
        <w:jc w:val="both"/>
        <w:rPr>
          <w:lang w:val="uk-UA"/>
        </w:rPr>
      </w:pPr>
      <w:r w:rsidRPr="00BF441B">
        <w:rPr>
          <w:lang w:val="uk-UA"/>
        </w:rPr>
        <w:t>Випадкове проковтування підвищує ризик розвитку побічних ефектів НПЗЗ, особливо у маленьких дітей. Необхідно бути обережними, щоб уникнути випадкового проковтування дітьми. Щоб запобігти потраплянню препарату до дітей, не виймайте таблетки з блістера, поки вони не будуть готові до введення тварині. Препарат необхідно застосовувати та зберігати (в оригінальній упаковці) в недоступному для дітей місці.</w:t>
      </w:r>
    </w:p>
    <w:p w14:paraId="4241A578" w14:textId="68537CC7" w:rsidR="00587808" w:rsidRPr="00BF441B" w:rsidRDefault="00D04DA1" w:rsidP="00D04DA1">
      <w:pPr>
        <w:jc w:val="both"/>
        <w:rPr>
          <w:lang w:val="uk-UA"/>
        </w:rPr>
      </w:pPr>
      <w:r w:rsidRPr="00BF441B">
        <w:rPr>
          <w:lang w:val="uk-UA"/>
        </w:rPr>
        <w:t>Людям з гіперчутливістю до компонентів препарату необхідно уникати прямого контакту з таблетками. У разі появи алергічних реакцій та/або при випадковому проковтуванні препарату в організм людини необхідно терміново звернутися до медичного закладу, маючи при собі інструкцію щодо застосування препарату або етикетку.</w:t>
      </w:r>
    </w:p>
    <w:bookmarkEnd w:id="1"/>
    <w:p w14:paraId="6B75B798" w14:textId="77777777" w:rsidR="00A24AF9" w:rsidRPr="00BF441B" w:rsidRDefault="00587808" w:rsidP="00587808">
      <w:pPr>
        <w:rPr>
          <w:b/>
          <w:snapToGrid w:val="0"/>
          <w:lang w:val="uk-UA"/>
        </w:rPr>
      </w:pPr>
      <w:r w:rsidRPr="00BF441B">
        <w:rPr>
          <w:b/>
          <w:snapToGrid w:val="0"/>
          <w:lang w:val="uk-UA"/>
        </w:rPr>
        <w:tab/>
      </w:r>
      <w:r w:rsidR="00A24AF9" w:rsidRPr="00BF441B">
        <w:rPr>
          <w:b/>
          <w:snapToGrid w:val="0"/>
        </w:rPr>
        <w:t>6. Ф</w:t>
      </w:r>
      <w:r w:rsidR="00266902" w:rsidRPr="00BF441B">
        <w:rPr>
          <w:b/>
          <w:snapToGrid w:val="0"/>
          <w:lang w:val="uk-UA"/>
        </w:rPr>
        <w:t>армацевтичні особливості</w:t>
      </w:r>
    </w:p>
    <w:p w14:paraId="1E113B9B" w14:textId="77777777" w:rsidR="00266902" w:rsidRPr="00BF441B" w:rsidRDefault="00A24AF9" w:rsidP="00266902">
      <w:pPr>
        <w:pStyle w:val="3"/>
        <w:ind w:firstLine="567"/>
        <w:rPr>
          <w:szCs w:val="24"/>
        </w:rPr>
      </w:pPr>
      <w:r w:rsidRPr="00BF441B">
        <w:rPr>
          <w:szCs w:val="24"/>
        </w:rPr>
        <w:t>6.1 Форми несумісності (основні)</w:t>
      </w:r>
    </w:p>
    <w:p w14:paraId="073B2BB9" w14:textId="41ECB2FA" w:rsidR="00B2225B" w:rsidRPr="00BF441B" w:rsidRDefault="00B2225B" w:rsidP="00B2225B">
      <w:pPr>
        <w:ind w:firstLine="567"/>
        <w:jc w:val="both"/>
        <w:rPr>
          <w:lang w:val="uk-UA"/>
        </w:rPr>
      </w:pPr>
      <w:r w:rsidRPr="00BF441B">
        <w:rPr>
          <w:lang w:val="uk-UA"/>
        </w:rPr>
        <w:lastRenderedPageBreak/>
        <w:t>Робенакоксиб не можна застосовувати одночасно з іншими НПЗЗ або глюкокортикостероїдами.</w:t>
      </w:r>
    </w:p>
    <w:p w14:paraId="0E0925AC" w14:textId="104D7982" w:rsidR="00077A3E" w:rsidRPr="00BF441B" w:rsidRDefault="00077A3E" w:rsidP="00077A3E">
      <w:pPr>
        <w:jc w:val="right"/>
        <w:rPr>
          <w:lang w:val="uk-UA" w:eastAsia="en-US"/>
        </w:rPr>
      </w:pPr>
      <w:r w:rsidRPr="00BF441B">
        <w:rPr>
          <w:lang w:val="uk-UA" w:eastAsia="en-US"/>
        </w:rPr>
        <w:t>Продовження додатку 1</w:t>
      </w:r>
    </w:p>
    <w:p w14:paraId="0FF6FD05" w14:textId="77777777" w:rsidR="00077A3E" w:rsidRPr="00BF441B" w:rsidRDefault="00077A3E" w:rsidP="00077A3E">
      <w:pPr>
        <w:jc w:val="right"/>
        <w:rPr>
          <w:lang w:val="uk-UA" w:eastAsia="en-US"/>
        </w:rPr>
      </w:pPr>
      <w:r w:rsidRPr="00BF441B">
        <w:rPr>
          <w:lang w:val="uk-UA" w:eastAsia="en-US"/>
        </w:rPr>
        <w:t>до реєстраційного посвідчення</w:t>
      </w:r>
    </w:p>
    <w:p w14:paraId="4C630F78" w14:textId="77777777" w:rsidR="00077A3E" w:rsidRPr="00BF441B" w:rsidRDefault="000617E0" w:rsidP="000E0F3A">
      <w:pPr>
        <w:jc w:val="both"/>
        <w:rPr>
          <w:lang w:val="uk-UA"/>
        </w:rPr>
      </w:pPr>
      <w:r w:rsidRPr="00BF441B">
        <w:rPr>
          <w:lang w:val="uk-UA"/>
        </w:rPr>
        <w:tab/>
      </w:r>
    </w:p>
    <w:p w14:paraId="26F7CB9F" w14:textId="77777777" w:rsidR="00266902" w:rsidRPr="00BF441B" w:rsidRDefault="00A24AF9" w:rsidP="00266902">
      <w:pPr>
        <w:widowControl w:val="0"/>
        <w:ind w:firstLine="567"/>
        <w:jc w:val="both"/>
        <w:rPr>
          <w:b/>
          <w:snapToGrid w:val="0"/>
          <w:lang w:val="uk-UA"/>
        </w:rPr>
      </w:pPr>
      <w:r w:rsidRPr="00BF441B">
        <w:rPr>
          <w:b/>
          <w:snapToGrid w:val="0"/>
          <w:lang w:val="uk-UA"/>
        </w:rPr>
        <w:t>6.2 Термін придатності</w:t>
      </w:r>
    </w:p>
    <w:p w14:paraId="0B4B6543" w14:textId="77777777" w:rsidR="00587808" w:rsidRPr="00BF441B" w:rsidRDefault="000617E0" w:rsidP="00587808">
      <w:pPr>
        <w:ind w:right="-318"/>
        <w:rPr>
          <w:lang w:val="uk-UA"/>
        </w:rPr>
      </w:pPr>
      <w:r w:rsidRPr="00BF441B">
        <w:rPr>
          <w:lang w:val="uk-UA"/>
        </w:rPr>
        <w:tab/>
      </w:r>
      <w:r w:rsidR="00566ECB" w:rsidRPr="00BF441B">
        <w:rPr>
          <w:lang w:val="uk-UA"/>
        </w:rPr>
        <w:t>3</w:t>
      </w:r>
      <w:r w:rsidR="00587808" w:rsidRPr="00BF441B">
        <w:rPr>
          <w:lang w:val="uk-UA"/>
        </w:rPr>
        <w:t xml:space="preserve"> роки.</w:t>
      </w:r>
    </w:p>
    <w:p w14:paraId="66786E4A" w14:textId="77777777" w:rsidR="007A5D51" w:rsidRPr="00BF441B" w:rsidRDefault="00587808" w:rsidP="00566ECB">
      <w:pPr>
        <w:ind w:right="-318"/>
        <w:rPr>
          <w:b/>
          <w:snapToGrid w:val="0"/>
          <w:lang w:val="uk-UA"/>
        </w:rPr>
      </w:pPr>
      <w:r w:rsidRPr="00BF441B">
        <w:rPr>
          <w:b/>
          <w:snapToGrid w:val="0"/>
          <w:lang w:val="uk-UA"/>
        </w:rPr>
        <w:tab/>
      </w:r>
      <w:r w:rsidR="00A24AF9" w:rsidRPr="00BF441B">
        <w:rPr>
          <w:b/>
          <w:snapToGrid w:val="0"/>
          <w:lang w:val="uk-UA"/>
        </w:rPr>
        <w:t>6.3</w:t>
      </w:r>
      <w:r w:rsidR="00266902" w:rsidRPr="00BF441B">
        <w:rPr>
          <w:b/>
          <w:snapToGrid w:val="0"/>
          <w:lang w:val="uk-UA"/>
        </w:rPr>
        <w:t xml:space="preserve"> </w:t>
      </w:r>
      <w:r w:rsidR="00A24AF9" w:rsidRPr="00BF441B">
        <w:rPr>
          <w:b/>
          <w:snapToGrid w:val="0"/>
          <w:lang w:val="uk-UA"/>
        </w:rPr>
        <w:t>Особливі за</w:t>
      </w:r>
      <w:r w:rsidR="00266902" w:rsidRPr="00BF441B">
        <w:rPr>
          <w:b/>
          <w:snapToGrid w:val="0"/>
          <w:lang w:val="uk-UA"/>
        </w:rPr>
        <w:t>ходи</w:t>
      </w:r>
      <w:r w:rsidR="00A24AF9" w:rsidRPr="00BF441B">
        <w:rPr>
          <w:b/>
          <w:snapToGrid w:val="0"/>
          <w:lang w:val="uk-UA"/>
        </w:rPr>
        <w:t xml:space="preserve"> зберігання</w:t>
      </w:r>
    </w:p>
    <w:p w14:paraId="352BFA81" w14:textId="77777777" w:rsidR="00566ECB" w:rsidRPr="00BF441B" w:rsidRDefault="00566ECB" w:rsidP="00566ECB">
      <w:pPr>
        <w:jc w:val="both"/>
        <w:rPr>
          <w:lang w:val="uk-UA"/>
        </w:rPr>
      </w:pPr>
      <w:r w:rsidRPr="00BF441B">
        <w:rPr>
          <w:lang w:val="uk-UA"/>
        </w:rPr>
        <w:tab/>
      </w:r>
      <w:r w:rsidR="000F3DE0" w:rsidRPr="00BF441B">
        <w:rPr>
          <w:lang w:val="uk-UA"/>
        </w:rPr>
        <w:t>Зберігати в оригінальній упаковці у сухому, захищеному від прямих сонячних променів, недоступному для дітей і тварин місці за температури не вищої, ніж 25 °С</w:t>
      </w:r>
      <w:r w:rsidRPr="00BF441B">
        <w:rPr>
          <w:lang w:val="uk-UA"/>
        </w:rPr>
        <w:t xml:space="preserve">. </w:t>
      </w:r>
    </w:p>
    <w:p w14:paraId="7335F6BC" w14:textId="77777777" w:rsidR="00A24AF9" w:rsidRPr="00BF441B" w:rsidRDefault="00A24AF9" w:rsidP="00266902">
      <w:pPr>
        <w:widowControl w:val="0"/>
        <w:ind w:firstLine="567"/>
        <w:jc w:val="both"/>
        <w:rPr>
          <w:b/>
          <w:snapToGrid w:val="0"/>
        </w:rPr>
      </w:pPr>
      <w:r w:rsidRPr="00BF441B">
        <w:rPr>
          <w:b/>
          <w:snapToGrid w:val="0"/>
        </w:rPr>
        <w:t>6.4 Природа і склад контейнера первинного пакування</w:t>
      </w:r>
    </w:p>
    <w:p w14:paraId="78477C42" w14:textId="77777777" w:rsidR="00CD63B4" w:rsidRPr="00BF441B" w:rsidRDefault="00EB0667" w:rsidP="006D49AC">
      <w:pPr>
        <w:jc w:val="both"/>
        <w:rPr>
          <w:lang w:val="uk-UA"/>
        </w:rPr>
      </w:pPr>
      <w:r w:rsidRPr="00BF441B">
        <w:rPr>
          <w:lang w:val="uk-UA"/>
        </w:rPr>
        <w:tab/>
      </w:r>
      <w:bookmarkStart w:id="7" w:name="_Hlk192933609"/>
      <w:r w:rsidR="006D49AC" w:rsidRPr="00BF441B">
        <w:rPr>
          <w:lang w:val="uk-UA"/>
        </w:rPr>
        <w:t xml:space="preserve">Блістери по 10 таблеток, упаковані в картонні коробки. Коробка з 1 блістером по 10 таблеток. Коробка з 2 блістерами по 10 таблеток. </w:t>
      </w:r>
      <w:r w:rsidR="00CD63B4" w:rsidRPr="00BF441B">
        <w:rPr>
          <w:lang w:val="uk-UA"/>
        </w:rPr>
        <w:t>Коробка з 10 блістерами по 10 таблеток.</w:t>
      </w:r>
    </w:p>
    <w:bookmarkEnd w:id="7"/>
    <w:p w14:paraId="6976FAD1" w14:textId="77777777" w:rsidR="00266902" w:rsidRPr="00BF441B" w:rsidRDefault="00A53639" w:rsidP="004F15E9">
      <w:pPr>
        <w:jc w:val="both"/>
        <w:rPr>
          <w:b/>
          <w:bCs/>
        </w:rPr>
      </w:pPr>
      <w:r w:rsidRPr="00BF441B">
        <w:rPr>
          <w:lang w:val="uk-UA"/>
        </w:rPr>
        <w:tab/>
      </w:r>
      <w:r w:rsidR="00266902" w:rsidRPr="00BF441B">
        <w:rPr>
          <w:b/>
          <w:bCs/>
        </w:rPr>
        <w:t>6.5 Особливі заходи безпеки при поводженні з невикористаним препаратом або із його залишками</w:t>
      </w:r>
    </w:p>
    <w:p w14:paraId="14811419" w14:textId="77777777" w:rsidR="003C1FC4" w:rsidRPr="00BF441B" w:rsidRDefault="003C1FC4" w:rsidP="003C1FC4">
      <w:pPr>
        <w:widowControl w:val="0"/>
        <w:tabs>
          <w:tab w:val="left" w:pos="10312"/>
        </w:tabs>
        <w:snapToGrid w:val="0"/>
        <w:ind w:right="-36" w:firstLine="567"/>
        <w:jc w:val="both"/>
        <w:rPr>
          <w:snapToGrid w:val="0"/>
        </w:rPr>
      </w:pPr>
      <w:r w:rsidRPr="00BF441B">
        <w:rPr>
          <w:snapToGrid w:val="0"/>
          <w:lang w:val="x-none"/>
        </w:rPr>
        <w:t>Невикористаний або протермінований препарат утилізують відповідно до чинного законодавства.</w:t>
      </w:r>
    </w:p>
    <w:p w14:paraId="36ECB356" w14:textId="77777777" w:rsidR="004F01AF" w:rsidRPr="00BF441B" w:rsidRDefault="004F01AF" w:rsidP="004F01AF">
      <w:pPr>
        <w:widowControl w:val="0"/>
        <w:snapToGrid w:val="0"/>
        <w:ind w:right="454" w:firstLine="567"/>
        <w:jc w:val="both"/>
        <w:rPr>
          <w:snapToGrid w:val="0"/>
        </w:rPr>
      </w:pPr>
      <w:r w:rsidRPr="00BF441B">
        <w:rPr>
          <w:b/>
          <w:snapToGrid w:val="0"/>
          <w:lang w:val="x-none"/>
        </w:rPr>
        <w:t>7. Назва і місце знаходження власника реєстраційного посвідчення</w:t>
      </w:r>
    </w:p>
    <w:tbl>
      <w:tblPr>
        <w:tblW w:w="11774" w:type="dxa"/>
        <w:tblLayout w:type="fixed"/>
        <w:tblLook w:val="04A0" w:firstRow="1" w:lastRow="0" w:firstColumn="1" w:lastColumn="0" w:noHBand="0" w:noVBand="1"/>
      </w:tblPr>
      <w:tblGrid>
        <w:gridCol w:w="9322"/>
        <w:gridCol w:w="2452"/>
      </w:tblGrid>
      <w:tr w:rsidR="00BF441B" w:rsidRPr="00BF441B" w14:paraId="1964B594" w14:textId="77777777" w:rsidTr="0031261A">
        <w:tc>
          <w:tcPr>
            <w:tcW w:w="9322" w:type="dxa"/>
            <w:hideMark/>
          </w:tcPr>
          <w:p w14:paraId="31A8C32F" w14:textId="77777777" w:rsidR="004F01AF" w:rsidRPr="00BF441B" w:rsidRDefault="004F01AF" w:rsidP="0031261A">
            <w:pPr>
              <w:rPr>
                <w:lang w:eastAsia="en-US"/>
              </w:rPr>
            </w:pPr>
            <w:r w:rsidRPr="00BF441B">
              <w:rPr>
                <w:lang w:val="uk-UA" w:eastAsia="en-US"/>
              </w:rPr>
              <w:t xml:space="preserve">        </w:t>
            </w:r>
            <w:r w:rsidRPr="00BF441B">
              <w:rPr>
                <w:lang w:eastAsia="en-US"/>
              </w:rPr>
              <w:t>ТОВ "МЕДІВЕТ ЕКО", УКРАЇНА</w:t>
            </w:r>
          </w:p>
          <w:p w14:paraId="3254ACDB" w14:textId="77777777" w:rsidR="004F01AF" w:rsidRPr="00BF441B" w:rsidRDefault="004F01AF" w:rsidP="0031261A">
            <w:pPr>
              <w:rPr>
                <w:lang w:val="uk-UA" w:eastAsia="en-US"/>
              </w:rPr>
            </w:pPr>
            <w:r w:rsidRPr="00BF441B">
              <w:rPr>
                <w:lang w:val="uk-UA" w:eastAsia="en-US"/>
              </w:rPr>
              <w:t xml:space="preserve">         </w:t>
            </w:r>
            <w:r w:rsidRPr="00BF441B">
              <w:rPr>
                <w:lang w:eastAsia="en-US"/>
              </w:rPr>
              <w:t>вул. Якутська, 8 Ж, кімн. 313, 314, м. Київ, 03680</w:t>
            </w:r>
          </w:p>
        </w:tc>
        <w:tc>
          <w:tcPr>
            <w:tcW w:w="2452" w:type="dxa"/>
            <w:hideMark/>
          </w:tcPr>
          <w:p w14:paraId="75780BAC" w14:textId="77777777" w:rsidR="004F01AF" w:rsidRPr="00BF441B" w:rsidRDefault="004F01AF" w:rsidP="0031261A">
            <w:pPr>
              <w:ind w:left="317" w:firstLine="425"/>
              <w:rPr>
                <w:lang w:eastAsia="en-US"/>
              </w:rPr>
            </w:pPr>
          </w:p>
        </w:tc>
      </w:tr>
    </w:tbl>
    <w:p w14:paraId="4796BE6A" w14:textId="77777777" w:rsidR="004F01AF" w:rsidRPr="00BF441B" w:rsidRDefault="004F01AF" w:rsidP="004F01AF">
      <w:pPr>
        <w:ind w:right="454" w:firstLine="567"/>
        <w:jc w:val="both"/>
        <w:rPr>
          <w:b/>
          <w:lang w:eastAsia="en-US"/>
        </w:rPr>
      </w:pPr>
      <w:r w:rsidRPr="00BF441B">
        <w:rPr>
          <w:b/>
          <w:lang w:val="uk-UA" w:eastAsia="en-US"/>
        </w:rPr>
        <w:t>8. Назва і місце знаходження виробника</w:t>
      </w:r>
    </w:p>
    <w:tbl>
      <w:tblPr>
        <w:tblW w:w="8755" w:type="dxa"/>
        <w:tblLayout w:type="fixed"/>
        <w:tblLook w:val="04A0" w:firstRow="1" w:lastRow="0" w:firstColumn="1" w:lastColumn="0" w:noHBand="0" w:noVBand="1"/>
      </w:tblPr>
      <w:tblGrid>
        <w:gridCol w:w="8755"/>
      </w:tblGrid>
      <w:tr w:rsidR="00BF441B" w:rsidRPr="00BF441B" w14:paraId="640EA320" w14:textId="77777777" w:rsidTr="0031261A">
        <w:tc>
          <w:tcPr>
            <w:tcW w:w="8755" w:type="dxa"/>
            <w:hideMark/>
          </w:tcPr>
          <w:p w14:paraId="7D13C591" w14:textId="77777777" w:rsidR="004F01AF" w:rsidRPr="00BF441B" w:rsidRDefault="004F01AF" w:rsidP="0031261A">
            <w:pPr>
              <w:rPr>
                <w:lang w:eastAsia="en-US"/>
              </w:rPr>
            </w:pPr>
            <w:r w:rsidRPr="00BF441B">
              <w:rPr>
                <w:lang w:eastAsia="en-US"/>
              </w:rPr>
              <w:t xml:space="preserve">        ТОВ "МЕДІПРОМТЕК", УКРАЇНА</w:t>
            </w:r>
          </w:p>
          <w:p w14:paraId="7A8F3C71" w14:textId="77777777" w:rsidR="004F01AF" w:rsidRPr="00BF441B" w:rsidRDefault="004F01AF" w:rsidP="0031261A">
            <w:pPr>
              <w:rPr>
                <w:lang w:val="uk-UA" w:eastAsia="en-US"/>
              </w:rPr>
            </w:pPr>
            <w:r w:rsidRPr="00BF441B">
              <w:rPr>
                <w:lang w:eastAsia="en-US"/>
              </w:rPr>
              <w:t xml:space="preserve">         вул. Стельмаха, буд. 9, м. Ірпінь, Київська обл., 08200</w:t>
            </w:r>
          </w:p>
        </w:tc>
      </w:tr>
    </w:tbl>
    <w:p w14:paraId="2094E801" w14:textId="77777777" w:rsidR="004F01AF" w:rsidRPr="00BF441B" w:rsidRDefault="004F01AF" w:rsidP="004F01AF">
      <w:pPr>
        <w:ind w:right="454" w:firstLine="567"/>
        <w:jc w:val="both"/>
        <w:rPr>
          <w:b/>
          <w:lang w:val="uk-UA" w:eastAsia="en-US"/>
        </w:rPr>
      </w:pPr>
      <w:r w:rsidRPr="00BF441B">
        <w:rPr>
          <w:b/>
          <w:lang w:val="uk-UA" w:eastAsia="en-US"/>
        </w:rPr>
        <w:t>9. Додаткова інформація</w:t>
      </w:r>
    </w:p>
    <w:p w14:paraId="0B953EFD" w14:textId="77777777" w:rsidR="002B7A35" w:rsidRPr="00BF441B" w:rsidRDefault="002B7A35" w:rsidP="003C1FC4">
      <w:pPr>
        <w:pStyle w:val="3"/>
        <w:ind w:firstLine="567"/>
        <w:rPr>
          <w:bCs/>
        </w:rPr>
      </w:pPr>
    </w:p>
    <w:p w14:paraId="539C0D31" w14:textId="77777777" w:rsidR="00BF441B" w:rsidRPr="00BF441B" w:rsidRDefault="00BF441B">
      <w:pPr>
        <w:pStyle w:val="3"/>
        <w:ind w:firstLine="567"/>
        <w:rPr>
          <w:bCs/>
        </w:rPr>
      </w:pPr>
    </w:p>
    <w:sectPr w:rsidR="00BF441B" w:rsidRPr="00BF441B" w:rsidSect="00AB4549">
      <w:headerReference w:type="default" r:id="rId7"/>
      <w:footerReference w:type="even" r:id="rId8"/>
      <w:footerReference w:type="default" r:id="rId9"/>
      <w:footerReference w:type="first" r:id="rId10"/>
      <w:pgSz w:w="11906" w:h="16838"/>
      <w:pgMar w:top="567" w:right="566"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34D15" w14:textId="77777777" w:rsidR="0098033D" w:rsidRDefault="0098033D">
      <w:r>
        <w:separator/>
      </w:r>
    </w:p>
  </w:endnote>
  <w:endnote w:type="continuationSeparator" w:id="0">
    <w:p w14:paraId="24C2733C" w14:textId="77777777" w:rsidR="0098033D" w:rsidRDefault="0098033D">
      <w:r>
        <w:continuationSeparator/>
      </w:r>
    </w:p>
  </w:endnote>
  <w:endnote w:type="continuationNotice" w:id="1">
    <w:p w14:paraId="6636000B" w14:textId="77777777" w:rsidR="0098033D" w:rsidRDefault="00980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SAPGUI-Belize-Icons">
    <w:altName w:val="Cambria Math"/>
    <w:charset w:val="00"/>
    <w:family w:val="auto"/>
    <w:pitch w:val="variable"/>
    <w:sig w:usb0="00000003" w:usb1="1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4E57" w14:textId="77777777" w:rsidR="0031261A" w:rsidRDefault="0031261A" w:rsidP="00A24AF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20764510" w14:textId="77777777" w:rsidR="0031261A" w:rsidRDefault="0031261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4699" w14:textId="06672E52" w:rsidR="0031261A" w:rsidRDefault="0031261A" w:rsidP="00A24AF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F441B">
      <w:rPr>
        <w:rStyle w:val="a9"/>
        <w:noProof/>
      </w:rPr>
      <w:t>2</w:t>
    </w:r>
    <w:r>
      <w:rPr>
        <w:rStyle w:val="a9"/>
      </w:rPr>
      <w:fldChar w:fldCharType="end"/>
    </w:r>
  </w:p>
  <w:p w14:paraId="323F6095" w14:textId="77777777" w:rsidR="0031261A" w:rsidRDefault="0031261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B5B91" w14:textId="65E25A9B" w:rsidR="0031261A" w:rsidRDefault="0031261A">
    <w:pPr>
      <w:pStyle w:val="a7"/>
      <w:jc w:val="center"/>
    </w:pPr>
    <w:r>
      <w:fldChar w:fldCharType="begin"/>
    </w:r>
    <w:r>
      <w:instrText>PAGE   \* MERGEFORMAT</w:instrText>
    </w:r>
    <w:r>
      <w:fldChar w:fldCharType="separate"/>
    </w:r>
    <w:r w:rsidR="00BF441B">
      <w:rPr>
        <w:noProof/>
      </w:rPr>
      <w:t>1</w:t>
    </w:r>
    <w:r>
      <w:fldChar w:fldCharType="end"/>
    </w:r>
  </w:p>
  <w:p w14:paraId="25248565" w14:textId="77777777" w:rsidR="0031261A" w:rsidRDefault="003126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6F3B1" w14:textId="77777777" w:rsidR="0098033D" w:rsidRDefault="0098033D">
      <w:r>
        <w:separator/>
      </w:r>
    </w:p>
  </w:footnote>
  <w:footnote w:type="continuationSeparator" w:id="0">
    <w:p w14:paraId="33C0943A" w14:textId="77777777" w:rsidR="0098033D" w:rsidRDefault="0098033D">
      <w:r>
        <w:continuationSeparator/>
      </w:r>
    </w:p>
  </w:footnote>
  <w:footnote w:type="continuationNotice" w:id="1">
    <w:p w14:paraId="5FEB92D5" w14:textId="77777777" w:rsidR="0098033D" w:rsidRDefault="009803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817C" w14:textId="35CF10E7" w:rsidR="0031261A" w:rsidRDefault="0031261A" w:rsidP="00077A3E">
    <w:pPr>
      <w:pStyle w:val="a6"/>
      <w:tabs>
        <w:tab w:val="clear" w:pos="4819"/>
        <w:tab w:val="clear" w:pos="9639"/>
        <w:tab w:val="center" w:pos="5103"/>
        <w:tab w:val="right" w:pos="102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F9"/>
    <w:rsid w:val="00000287"/>
    <w:rsid w:val="00000CD3"/>
    <w:rsid w:val="000015AE"/>
    <w:rsid w:val="0000643E"/>
    <w:rsid w:val="000132C5"/>
    <w:rsid w:val="00014779"/>
    <w:rsid w:val="00014ED9"/>
    <w:rsid w:val="000232DE"/>
    <w:rsid w:val="00031517"/>
    <w:rsid w:val="000475FD"/>
    <w:rsid w:val="000513BF"/>
    <w:rsid w:val="0005639C"/>
    <w:rsid w:val="00056FF9"/>
    <w:rsid w:val="000617E0"/>
    <w:rsid w:val="000669F3"/>
    <w:rsid w:val="00077A3E"/>
    <w:rsid w:val="00082961"/>
    <w:rsid w:val="00083CE2"/>
    <w:rsid w:val="00090A15"/>
    <w:rsid w:val="00095EEB"/>
    <w:rsid w:val="000A758C"/>
    <w:rsid w:val="000B0571"/>
    <w:rsid w:val="000B0EEE"/>
    <w:rsid w:val="000B55F5"/>
    <w:rsid w:val="000B6675"/>
    <w:rsid w:val="000C1A86"/>
    <w:rsid w:val="000C749F"/>
    <w:rsid w:val="000D5556"/>
    <w:rsid w:val="000D72FE"/>
    <w:rsid w:val="000E0F3A"/>
    <w:rsid w:val="000E1877"/>
    <w:rsid w:val="000F18E2"/>
    <w:rsid w:val="000F1A0F"/>
    <w:rsid w:val="000F3DE0"/>
    <w:rsid w:val="000F5B2D"/>
    <w:rsid w:val="001056D9"/>
    <w:rsid w:val="00115FAE"/>
    <w:rsid w:val="00130E51"/>
    <w:rsid w:val="00133CB2"/>
    <w:rsid w:val="00137B49"/>
    <w:rsid w:val="00141EE6"/>
    <w:rsid w:val="00144728"/>
    <w:rsid w:val="001448EF"/>
    <w:rsid w:val="00147447"/>
    <w:rsid w:val="00151188"/>
    <w:rsid w:val="00152466"/>
    <w:rsid w:val="00155963"/>
    <w:rsid w:val="00155A20"/>
    <w:rsid w:val="00161D86"/>
    <w:rsid w:val="00163CFC"/>
    <w:rsid w:val="00173703"/>
    <w:rsid w:val="00174B00"/>
    <w:rsid w:val="001762C8"/>
    <w:rsid w:val="00195702"/>
    <w:rsid w:val="00197A8A"/>
    <w:rsid w:val="001A09C6"/>
    <w:rsid w:val="001B48C2"/>
    <w:rsid w:val="001B6AAD"/>
    <w:rsid w:val="001D0A26"/>
    <w:rsid w:val="001D470E"/>
    <w:rsid w:val="001F5372"/>
    <w:rsid w:val="002143C5"/>
    <w:rsid w:val="00220F95"/>
    <w:rsid w:val="002279D4"/>
    <w:rsid w:val="00230305"/>
    <w:rsid w:val="002345D0"/>
    <w:rsid w:val="00235E1E"/>
    <w:rsid w:val="00237316"/>
    <w:rsid w:val="0024089B"/>
    <w:rsid w:val="00257584"/>
    <w:rsid w:val="002575C8"/>
    <w:rsid w:val="00257CBB"/>
    <w:rsid w:val="002621DD"/>
    <w:rsid w:val="0026643D"/>
    <w:rsid w:val="00266902"/>
    <w:rsid w:val="00267A06"/>
    <w:rsid w:val="00273262"/>
    <w:rsid w:val="0027330C"/>
    <w:rsid w:val="0027434D"/>
    <w:rsid w:val="00275FBB"/>
    <w:rsid w:val="002767DB"/>
    <w:rsid w:val="00281EAE"/>
    <w:rsid w:val="00285CB7"/>
    <w:rsid w:val="002A1777"/>
    <w:rsid w:val="002B0CA2"/>
    <w:rsid w:val="002B1F36"/>
    <w:rsid w:val="002B54D0"/>
    <w:rsid w:val="002B7A35"/>
    <w:rsid w:val="002C0C1C"/>
    <w:rsid w:val="002C29A4"/>
    <w:rsid w:val="002C3895"/>
    <w:rsid w:val="002C7EE5"/>
    <w:rsid w:val="002D72DE"/>
    <w:rsid w:val="002D73D2"/>
    <w:rsid w:val="002F5D63"/>
    <w:rsid w:val="002F77D2"/>
    <w:rsid w:val="00301FD2"/>
    <w:rsid w:val="003025B3"/>
    <w:rsid w:val="0030580B"/>
    <w:rsid w:val="00310D7B"/>
    <w:rsid w:val="0031261A"/>
    <w:rsid w:val="003214E7"/>
    <w:rsid w:val="0032443F"/>
    <w:rsid w:val="003345E1"/>
    <w:rsid w:val="003404F8"/>
    <w:rsid w:val="00343588"/>
    <w:rsid w:val="00350E79"/>
    <w:rsid w:val="00351566"/>
    <w:rsid w:val="00352DC0"/>
    <w:rsid w:val="003609FE"/>
    <w:rsid w:val="0036201E"/>
    <w:rsid w:val="003717E0"/>
    <w:rsid w:val="00384647"/>
    <w:rsid w:val="00390756"/>
    <w:rsid w:val="0039514C"/>
    <w:rsid w:val="003C1FC4"/>
    <w:rsid w:val="003C28F9"/>
    <w:rsid w:val="003C39C9"/>
    <w:rsid w:val="003C3C3A"/>
    <w:rsid w:val="003D6632"/>
    <w:rsid w:val="003E4825"/>
    <w:rsid w:val="003E639D"/>
    <w:rsid w:val="003F249C"/>
    <w:rsid w:val="003F714E"/>
    <w:rsid w:val="003F7398"/>
    <w:rsid w:val="00403541"/>
    <w:rsid w:val="00407AB9"/>
    <w:rsid w:val="004159CC"/>
    <w:rsid w:val="00416439"/>
    <w:rsid w:val="004349AD"/>
    <w:rsid w:val="004479B9"/>
    <w:rsid w:val="004666AA"/>
    <w:rsid w:val="00467564"/>
    <w:rsid w:val="00473B60"/>
    <w:rsid w:val="00476E31"/>
    <w:rsid w:val="004807E4"/>
    <w:rsid w:val="004973F9"/>
    <w:rsid w:val="00497ADD"/>
    <w:rsid w:val="004A5BC5"/>
    <w:rsid w:val="004B55B6"/>
    <w:rsid w:val="004B5D70"/>
    <w:rsid w:val="004C0FBD"/>
    <w:rsid w:val="004D634A"/>
    <w:rsid w:val="004E620D"/>
    <w:rsid w:val="004E6232"/>
    <w:rsid w:val="004E6B7D"/>
    <w:rsid w:val="004F01AC"/>
    <w:rsid w:val="004F01AF"/>
    <w:rsid w:val="004F03ED"/>
    <w:rsid w:val="004F151E"/>
    <w:rsid w:val="004F15E9"/>
    <w:rsid w:val="004F6486"/>
    <w:rsid w:val="00506351"/>
    <w:rsid w:val="00514724"/>
    <w:rsid w:val="00522819"/>
    <w:rsid w:val="00524E98"/>
    <w:rsid w:val="00532D9C"/>
    <w:rsid w:val="005365E1"/>
    <w:rsid w:val="00537ED8"/>
    <w:rsid w:val="0054015A"/>
    <w:rsid w:val="005410BE"/>
    <w:rsid w:val="00543568"/>
    <w:rsid w:val="00547D74"/>
    <w:rsid w:val="005551E5"/>
    <w:rsid w:val="00563100"/>
    <w:rsid w:val="005638F7"/>
    <w:rsid w:val="00566ECB"/>
    <w:rsid w:val="005733B5"/>
    <w:rsid w:val="005828C9"/>
    <w:rsid w:val="005849DE"/>
    <w:rsid w:val="00587808"/>
    <w:rsid w:val="00587D8E"/>
    <w:rsid w:val="005A7645"/>
    <w:rsid w:val="005B4138"/>
    <w:rsid w:val="005B60B6"/>
    <w:rsid w:val="005C1E2E"/>
    <w:rsid w:val="005C2B75"/>
    <w:rsid w:val="005C6EFF"/>
    <w:rsid w:val="005D09BF"/>
    <w:rsid w:val="005D1D87"/>
    <w:rsid w:val="005D6806"/>
    <w:rsid w:val="005F3C36"/>
    <w:rsid w:val="00616F8D"/>
    <w:rsid w:val="00616FF8"/>
    <w:rsid w:val="0061796F"/>
    <w:rsid w:val="00631738"/>
    <w:rsid w:val="00633CA8"/>
    <w:rsid w:val="006340B6"/>
    <w:rsid w:val="006501CA"/>
    <w:rsid w:val="006513B0"/>
    <w:rsid w:val="006514DF"/>
    <w:rsid w:val="00654955"/>
    <w:rsid w:val="00663087"/>
    <w:rsid w:val="006673B4"/>
    <w:rsid w:val="006707B0"/>
    <w:rsid w:val="00674C80"/>
    <w:rsid w:val="00676768"/>
    <w:rsid w:val="00683BD3"/>
    <w:rsid w:val="00683D28"/>
    <w:rsid w:val="00687512"/>
    <w:rsid w:val="006A3432"/>
    <w:rsid w:val="006B2DEE"/>
    <w:rsid w:val="006B30DC"/>
    <w:rsid w:val="006B35C6"/>
    <w:rsid w:val="006B5811"/>
    <w:rsid w:val="006B60B2"/>
    <w:rsid w:val="006C25CD"/>
    <w:rsid w:val="006D05E3"/>
    <w:rsid w:val="006D49AC"/>
    <w:rsid w:val="006F03D0"/>
    <w:rsid w:val="006F3FF9"/>
    <w:rsid w:val="006F5C48"/>
    <w:rsid w:val="00705499"/>
    <w:rsid w:val="0070607D"/>
    <w:rsid w:val="007105B2"/>
    <w:rsid w:val="00710910"/>
    <w:rsid w:val="00713351"/>
    <w:rsid w:val="00714426"/>
    <w:rsid w:val="00715085"/>
    <w:rsid w:val="00725069"/>
    <w:rsid w:val="007257E5"/>
    <w:rsid w:val="00727324"/>
    <w:rsid w:val="007420BF"/>
    <w:rsid w:val="0074549B"/>
    <w:rsid w:val="00747D7A"/>
    <w:rsid w:val="00751B90"/>
    <w:rsid w:val="00757988"/>
    <w:rsid w:val="007620F3"/>
    <w:rsid w:val="00762CFD"/>
    <w:rsid w:val="00771431"/>
    <w:rsid w:val="007718BF"/>
    <w:rsid w:val="007749BB"/>
    <w:rsid w:val="007816F3"/>
    <w:rsid w:val="00787334"/>
    <w:rsid w:val="0079243E"/>
    <w:rsid w:val="00794E8D"/>
    <w:rsid w:val="007960D5"/>
    <w:rsid w:val="007970D5"/>
    <w:rsid w:val="00797D7F"/>
    <w:rsid w:val="007A5D51"/>
    <w:rsid w:val="007C57BE"/>
    <w:rsid w:val="007D5C26"/>
    <w:rsid w:val="007F0F9F"/>
    <w:rsid w:val="007F173E"/>
    <w:rsid w:val="007F6D0C"/>
    <w:rsid w:val="00803525"/>
    <w:rsid w:val="00812BF7"/>
    <w:rsid w:val="00813062"/>
    <w:rsid w:val="00813459"/>
    <w:rsid w:val="00814593"/>
    <w:rsid w:val="00815FBE"/>
    <w:rsid w:val="008360CF"/>
    <w:rsid w:val="008427DD"/>
    <w:rsid w:val="00856D02"/>
    <w:rsid w:val="008571B9"/>
    <w:rsid w:val="00857621"/>
    <w:rsid w:val="008609AB"/>
    <w:rsid w:val="00865ABD"/>
    <w:rsid w:val="0086671F"/>
    <w:rsid w:val="00872C84"/>
    <w:rsid w:val="00874ADA"/>
    <w:rsid w:val="0087662F"/>
    <w:rsid w:val="00885D1D"/>
    <w:rsid w:val="00892E57"/>
    <w:rsid w:val="008A2EAA"/>
    <w:rsid w:val="008B3E6B"/>
    <w:rsid w:val="008C2379"/>
    <w:rsid w:val="008C5DE4"/>
    <w:rsid w:val="008D7F33"/>
    <w:rsid w:val="008E1B41"/>
    <w:rsid w:val="008E6875"/>
    <w:rsid w:val="008E6FA0"/>
    <w:rsid w:val="008F0776"/>
    <w:rsid w:val="008F4804"/>
    <w:rsid w:val="008F666B"/>
    <w:rsid w:val="00900252"/>
    <w:rsid w:val="009041C0"/>
    <w:rsid w:val="00905BD2"/>
    <w:rsid w:val="0091176E"/>
    <w:rsid w:val="00914FB6"/>
    <w:rsid w:val="00915187"/>
    <w:rsid w:val="0092091B"/>
    <w:rsid w:val="009236AE"/>
    <w:rsid w:val="009239C2"/>
    <w:rsid w:val="00924B35"/>
    <w:rsid w:val="009257B4"/>
    <w:rsid w:val="00925A54"/>
    <w:rsid w:val="009327A3"/>
    <w:rsid w:val="00932D19"/>
    <w:rsid w:val="00933ACF"/>
    <w:rsid w:val="0094020F"/>
    <w:rsid w:val="00941242"/>
    <w:rsid w:val="00942FFD"/>
    <w:rsid w:val="00943BFD"/>
    <w:rsid w:val="00945171"/>
    <w:rsid w:val="00947CC3"/>
    <w:rsid w:val="00947D29"/>
    <w:rsid w:val="009502D9"/>
    <w:rsid w:val="009564B6"/>
    <w:rsid w:val="009761EC"/>
    <w:rsid w:val="0098033D"/>
    <w:rsid w:val="00980F09"/>
    <w:rsid w:val="009836F3"/>
    <w:rsid w:val="0098646F"/>
    <w:rsid w:val="0099593A"/>
    <w:rsid w:val="009A06FA"/>
    <w:rsid w:val="009A286E"/>
    <w:rsid w:val="009B2587"/>
    <w:rsid w:val="009B4A06"/>
    <w:rsid w:val="009C05AF"/>
    <w:rsid w:val="009C1DD5"/>
    <w:rsid w:val="009D152C"/>
    <w:rsid w:val="009D3BD2"/>
    <w:rsid w:val="009F3872"/>
    <w:rsid w:val="009F5A01"/>
    <w:rsid w:val="00A0038A"/>
    <w:rsid w:val="00A12F4C"/>
    <w:rsid w:val="00A145B0"/>
    <w:rsid w:val="00A16153"/>
    <w:rsid w:val="00A1765F"/>
    <w:rsid w:val="00A2448E"/>
    <w:rsid w:val="00A24AF9"/>
    <w:rsid w:val="00A271D2"/>
    <w:rsid w:val="00A33EA4"/>
    <w:rsid w:val="00A33F74"/>
    <w:rsid w:val="00A4108C"/>
    <w:rsid w:val="00A47BD3"/>
    <w:rsid w:val="00A50DD9"/>
    <w:rsid w:val="00A53639"/>
    <w:rsid w:val="00A55F43"/>
    <w:rsid w:val="00A567AC"/>
    <w:rsid w:val="00A60A6B"/>
    <w:rsid w:val="00A64B3A"/>
    <w:rsid w:val="00A6712D"/>
    <w:rsid w:val="00A71123"/>
    <w:rsid w:val="00A71FB3"/>
    <w:rsid w:val="00A73E3F"/>
    <w:rsid w:val="00A756AC"/>
    <w:rsid w:val="00A867F0"/>
    <w:rsid w:val="00A9242D"/>
    <w:rsid w:val="00A936A3"/>
    <w:rsid w:val="00A93A14"/>
    <w:rsid w:val="00AA437A"/>
    <w:rsid w:val="00AB2A16"/>
    <w:rsid w:val="00AB3695"/>
    <w:rsid w:val="00AB4549"/>
    <w:rsid w:val="00AB69AD"/>
    <w:rsid w:val="00AC21BB"/>
    <w:rsid w:val="00AC3BCD"/>
    <w:rsid w:val="00AC6367"/>
    <w:rsid w:val="00AD233D"/>
    <w:rsid w:val="00AE47A5"/>
    <w:rsid w:val="00AE693B"/>
    <w:rsid w:val="00AF509E"/>
    <w:rsid w:val="00B00C1D"/>
    <w:rsid w:val="00B07FAA"/>
    <w:rsid w:val="00B1541A"/>
    <w:rsid w:val="00B1734B"/>
    <w:rsid w:val="00B2225B"/>
    <w:rsid w:val="00B30F42"/>
    <w:rsid w:val="00B32808"/>
    <w:rsid w:val="00B33CE4"/>
    <w:rsid w:val="00B34C7E"/>
    <w:rsid w:val="00B401A0"/>
    <w:rsid w:val="00B40C2B"/>
    <w:rsid w:val="00B46C18"/>
    <w:rsid w:val="00B53043"/>
    <w:rsid w:val="00B55419"/>
    <w:rsid w:val="00B5713C"/>
    <w:rsid w:val="00B62B5B"/>
    <w:rsid w:val="00B732D7"/>
    <w:rsid w:val="00B73F86"/>
    <w:rsid w:val="00B753C4"/>
    <w:rsid w:val="00B7758B"/>
    <w:rsid w:val="00B83E48"/>
    <w:rsid w:val="00B84908"/>
    <w:rsid w:val="00B92542"/>
    <w:rsid w:val="00BA7166"/>
    <w:rsid w:val="00BB090D"/>
    <w:rsid w:val="00BB182A"/>
    <w:rsid w:val="00BB565F"/>
    <w:rsid w:val="00BC2793"/>
    <w:rsid w:val="00BD2EE9"/>
    <w:rsid w:val="00BE018B"/>
    <w:rsid w:val="00BE2309"/>
    <w:rsid w:val="00BE5165"/>
    <w:rsid w:val="00BE7549"/>
    <w:rsid w:val="00BF1975"/>
    <w:rsid w:val="00BF1D55"/>
    <w:rsid w:val="00BF441B"/>
    <w:rsid w:val="00C12F3A"/>
    <w:rsid w:val="00C14597"/>
    <w:rsid w:val="00C21541"/>
    <w:rsid w:val="00C30C65"/>
    <w:rsid w:val="00C43794"/>
    <w:rsid w:val="00C50E4F"/>
    <w:rsid w:val="00C54274"/>
    <w:rsid w:val="00C56138"/>
    <w:rsid w:val="00C60E57"/>
    <w:rsid w:val="00C75C38"/>
    <w:rsid w:val="00C769A6"/>
    <w:rsid w:val="00C8662C"/>
    <w:rsid w:val="00C930A3"/>
    <w:rsid w:val="00C938C3"/>
    <w:rsid w:val="00C94E26"/>
    <w:rsid w:val="00C955BA"/>
    <w:rsid w:val="00CA0189"/>
    <w:rsid w:val="00CA3041"/>
    <w:rsid w:val="00CA3A53"/>
    <w:rsid w:val="00CA3F19"/>
    <w:rsid w:val="00CB4E65"/>
    <w:rsid w:val="00CC7ABA"/>
    <w:rsid w:val="00CD2617"/>
    <w:rsid w:val="00CD508F"/>
    <w:rsid w:val="00CD63B4"/>
    <w:rsid w:val="00CD7A48"/>
    <w:rsid w:val="00CE2072"/>
    <w:rsid w:val="00CE794B"/>
    <w:rsid w:val="00CF7C5A"/>
    <w:rsid w:val="00D01519"/>
    <w:rsid w:val="00D04DA1"/>
    <w:rsid w:val="00D15841"/>
    <w:rsid w:val="00D21722"/>
    <w:rsid w:val="00D23867"/>
    <w:rsid w:val="00D2393A"/>
    <w:rsid w:val="00D2520D"/>
    <w:rsid w:val="00D25C4E"/>
    <w:rsid w:val="00D46B55"/>
    <w:rsid w:val="00D50181"/>
    <w:rsid w:val="00D56B58"/>
    <w:rsid w:val="00D619E7"/>
    <w:rsid w:val="00D70DAC"/>
    <w:rsid w:val="00D75CAE"/>
    <w:rsid w:val="00D765FF"/>
    <w:rsid w:val="00D827F1"/>
    <w:rsid w:val="00D92274"/>
    <w:rsid w:val="00D93C42"/>
    <w:rsid w:val="00D966CC"/>
    <w:rsid w:val="00DA1BD0"/>
    <w:rsid w:val="00DA5A70"/>
    <w:rsid w:val="00DC22F8"/>
    <w:rsid w:val="00DF28E2"/>
    <w:rsid w:val="00DF3FFA"/>
    <w:rsid w:val="00E01358"/>
    <w:rsid w:val="00E03288"/>
    <w:rsid w:val="00E06B50"/>
    <w:rsid w:val="00E12B81"/>
    <w:rsid w:val="00E15C79"/>
    <w:rsid w:val="00E2651F"/>
    <w:rsid w:val="00E347D1"/>
    <w:rsid w:val="00E36B85"/>
    <w:rsid w:val="00E40B62"/>
    <w:rsid w:val="00E41886"/>
    <w:rsid w:val="00E42F5E"/>
    <w:rsid w:val="00E51BB4"/>
    <w:rsid w:val="00E552F2"/>
    <w:rsid w:val="00E6283E"/>
    <w:rsid w:val="00E700E2"/>
    <w:rsid w:val="00E71EE6"/>
    <w:rsid w:val="00E813BB"/>
    <w:rsid w:val="00E96787"/>
    <w:rsid w:val="00EA578E"/>
    <w:rsid w:val="00EB0667"/>
    <w:rsid w:val="00EB11B4"/>
    <w:rsid w:val="00EC19F7"/>
    <w:rsid w:val="00EC36C1"/>
    <w:rsid w:val="00EC4498"/>
    <w:rsid w:val="00EC629B"/>
    <w:rsid w:val="00ED0BAB"/>
    <w:rsid w:val="00ED744E"/>
    <w:rsid w:val="00ED7A14"/>
    <w:rsid w:val="00EE1DEF"/>
    <w:rsid w:val="00EE396D"/>
    <w:rsid w:val="00EE5BD0"/>
    <w:rsid w:val="00EF3315"/>
    <w:rsid w:val="00EF75CE"/>
    <w:rsid w:val="00F00606"/>
    <w:rsid w:val="00F0341B"/>
    <w:rsid w:val="00F0397F"/>
    <w:rsid w:val="00F04A80"/>
    <w:rsid w:val="00F05342"/>
    <w:rsid w:val="00F133F2"/>
    <w:rsid w:val="00F152DF"/>
    <w:rsid w:val="00F32572"/>
    <w:rsid w:val="00F40DD2"/>
    <w:rsid w:val="00F600BF"/>
    <w:rsid w:val="00F62EC4"/>
    <w:rsid w:val="00F70134"/>
    <w:rsid w:val="00F777F6"/>
    <w:rsid w:val="00F800A6"/>
    <w:rsid w:val="00F83132"/>
    <w:rsid w:val="00F83556"/>
    <w:rsid w:val="00F85BE4"/>
    <w:rsid w:val="00F86EA3"/>
    <w:rsid w:val="00F87C83"/>
    <w:rsid w:val="00F905D8"/>
    <w:rsid w:val="00F933D1"/>
    <w:rsid w:val="00F95488"/>
    <w:rsid w:val="00FB2F75"/>
    <w:rsid w:val="00FB397A"/>
    <w:rsid w:val="00FB3EB6"/>
    <w:rsid w:val="00FB7158"/>
    <w:rsid w:val="00FC54DC"/>
    <w:rsid w:val="00FC6128"/>
    <w:rsid w:val="00FC6427"/>
    <w:rsid w:val="00FC69C5"/>
    <w:rsid w:val="00FD1C4A"/>
    <w:rsid w:val="00FD729A"/>
    <w:rsid w:val="00FE0A2F"/>
    <w:rsid w:val="00FE1B8E"/>
    <w:rsid w:val="00FE221D"/>
    <w:rsid w:val="00FF09B2"/>
    <w:rsid w:val="00FF6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035B2"/>
  <w15:docId w15:val="{A2408676-0EDA-465E-9E0A-C8701591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CC3"/>
    <w:rPr>
      <w:sz w:val="24"/>
      <w:szCs w:val="24"/>
      <w:lang w:val="ru-RU" w:eastAsia="ru-RU"/>
    </w:rPr>
  </w:style>
  <w:style w:type="paragraph" w:styleId="1">
    <w:name w:val="heading 1"/>
    <w:basedOn w:val="a"/>
    <w:next w:val="a"/>
    <w:link w:val="10"/>
    <w:qFormat/>
    <w:rsid w:val="00A24AF9"/>
    <w:pPr>
      <w:keepNext/>
      <w:jc w:val="both"/>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A24AF9"/>
    <w:pPr>
      <w:widowControl w:val="0"/>
      <w:ind w:firstLine="720"/>
      <w:jc w:val="both"/>
    </w:pPr>
    <w:rPr>
      <w:b/>
      <w:snapToGrid w:val="0"/>
      <w:szCs w:val="20"/>
      <w:lang w:val="uk-UA" w:eastAsia="en-US"/>
    </w:rPr>
  </w:style>
  <w:style w:type="paragraph" w:styleId="a3">
    <w:name w:val="Body Text"/>
    <w:basedOn w:val="a"/>
    <w:link w:val="a4"/>
    <w:rsid w:val="00A24AF9"/>
    <w:pPr>
      <w:widowControl w:val="0"/>
      <w:jc w:val="both"/>
    </w:pPr>
    <w:rPr>
      <w:b/>
      <w:snapToGrid w:val="0"/>
      <w:szCs w:val="20"/>
      <w:lang w:val="uk-UA" w:eastAsia="en-US"/>
    </w:rPr>
  </w:style>
  <w:style w:type="character" w:customStyle="1" w:styleId="10">
    <w:name w:val="Заголовок 1 Знак"/>
    <w:link w:val="1"/>
    <w:rsid w:val="00A24AF9"/>
    <w:rPr>
      <w:b/>
      <w:bCs/>
      <w:sz w:val="24"/>
      <w:szCs w:val="24"/>
      <w:lang w:val="ru-RU" w:eastAsia="en-US" w:bidi="ar-SA"/>
    </w:rPr>
  </w:style>
  <w:style w:type="character" w:styleId="a5">
    <w:name w:val="line number"/>
    <w:basedOn w:val="a0"/>
    <w:rsid w:val="00A24AF9"/>
  </w:style>
  <w:style w:type="paragraph" w:styleId="a6">
    <w:name w:val="header"/>
    <w:basedOn w:val="a"/>
    <w:rsid w:val="00A24AF9"/>
    <w:pPr>
      <w:tabs>
        <w:tab w:val="center" w:pos="4819"/>
        <w:tab w:val="right" w:pos="9639"/>
      </w:tabs>
    </w:pPr>
  </w:style>
  <w:style w:type="paragraph" w:styleId="a7">
    <w:name w:val="footer"/>
    <w:basedOn w:val="a"/>
    <w:link w:val="a8"/>
    <w:rsid w:val="00A24AF9"/>
    <w:pPr>
      <w:tabs>
        <w:tab w:val="center" w:pos="4819"/>
        <w:tab w:val="right" w:pos="9639"/>
      </w:tabs>
    </w:pPr>
  </w:style>
  <w:style w:type="character" w:styleId="a9">
    <w:name w:val="page number"/>
    <w:basedOn w:val="a0"/>
    <w:rsid w:val="00A24AF9"/>
  </w:style>
  <w:style w:type="paragraph" w:styleId="aa">
    <w:name w:val="Normal (Web)"/>
    <w:basedOn w:val="a"/>
    <w:rsid w:val="008360CF"/>
    <w:pPr>
      <w:spacing w:before="100" w:beforeAutospacing="1" w:after="100" w:afterAutospacing="1"/>
    </w:pPr>
    <w:rPr>
      <w:lang w:val="uk-UA" w:eastAsia="uk-UA"/>
    </w:rPr>
  </w:style>
  <w:style w:type="character" w:customStyle="1" w:styleId="FontStyle13">
    <w:name w:val="Font Style13"/>
    <w:rsid w:val="00797D7F"/>
    <w:rPr>
      <w:rFonts w:ascii="Times New Roman" w:hAnsi="Times New Roman" w:cs="Times New Roman"/>
      <w:sz w:val="20"/>
      <w:szCs w:val="20"/>
    </w:rPr>
  </w:style>
  <w:style w:type="character" w:customStyle="1" w:styleId="FontStyle14">
    <w:name w:val="Font Style14"/>
    <w:uiPriority w:val="99"/>
    <w:rsid w:val="00797D7F"/>
    <w:rPr>
      <w:rFonts w:ascii="Times New Roman" w:hAnsi="Times New Roman" w:cs="Times New Roman"/>
      <w:b/>
      <w:bCs/>
      <w:sz w:val="20"/>
      <w:szCs w:val="20"/>
    </w:rPr>
  </w:style>
  <w:style w:type="character" w:customStyle="1" w:styleId="a4">
    <w:name w:val="Основний текст Знак"/>
    <w:link w:val="a3"/>
    <w:rsid w:val="009041C0"/>
    <w:rPr>
      <w:b/>
      <w:snapToGrid w:val="0"/>
      <w:sz w:val="24"/>
      <w:lang w:eastAsia="en-US"/>
    </w:rPr>
  </w:style>
  <w:style w:type="table" w:styleId="ab">
    <w:name w:val="Table Grid"/>
    <w:basedOn w:val="a1"/>
    <w:uiPriority w:val="39"/>
    <w:rsid w:val="005D1D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5410BE"/>
    <w:rPr>
      <w:rFonts w:ascii="Times New Roman" w:hAnsi="Times New Roman" w:cs="Times New Roman"/>
      <w:sz w:val="20"/>
      <w:szCs w:val="20"/>
    </w:rPr>
  </w:style>
  <w:style w:type="paragraph" w:customStyle="1" w:styleId="Style2">
    <w:name w:val="Style2"/>
    <w:basedOn w:val="a"/>
    <w:uiPriority w:val="99"/>
    <w:rsid w:val="003717E0"/>
    <w:pPr>
      <w:widowControl w:val="0"/>
      <w:autoSpaceDE w:val="0"/>
      <w:autoSpaceDN w:val="0"/>
      <w:adjustRightInd w:val="0"/>
    </w:pPr>
  </w:style>
  <w:style w:type="paragraph" w:customStyle="1" w:styleId="Style4">
    <w:name w:val="Style4"/>
    <w:basedOn w:val="a"/>
    <w:uiPriority w:val="99"/>
    <w:rsid w:val="003717E0"/>
    <w:pPr>
      <w:widowControl w:val="0"/>
      <w:autoSpaceDE w:val="0"/>
      <w:autoSpaceDN w:val="0"/>
      <w:adjustRightInd w:val="0"/>
      <w:spacing w:line="336" w:lineRule="exact"/>
      <w:jc w:val="center"/>
    </w:pPr>
    <w:rPr>
      <w:rFonts w:ascii="Book Antiqua" w:hAnsi="Book Antiqua"/>
    </w:rPr>
  </w:style>
  <w:style w:type="character" w:customStyle="1" w:styleId="a8">
    <w:name w:val="Нижній колонтитул Знак"/>
    <w:link w:val="a7"/>
    <w:uiPriority w:val="99"/>
    <w:rsid w:val="00524E98"/>
    <w:rPr>
      <w:sz w:val="24"/>
      <w:szCs w:val="24"/>
      <w:lang w:val="ru-RU" w:eastAsia="ru-RU"/>
    </w:rPr>
  </w:style>
  <w:style w:type="paragraph" w:customStyle="1" w:styleId="cs7fb5c607">
    <w:name w:val="cs7fb5c607"/>
    <w:basedOn w:val="a"/>
    <w:rsid w:val="004349AD"/>
    <w:pPr>
      <w:ind w:firstLine="720"/>
      <w:jc w:val="both"/>
    </w:pPr>
    <w:rPr>
      <w:lang w:val="uk-UA" w:eastAsia="uk-UA"/>
    </w:rPr>
  </w:style>
  <w:style w:type="character" w:customStyle="1" w:styleId="cs7fb5c6071">
    <w:name w:val="cs7fb5c6071"/>
    <w:basedOn w:val="a0"/>
    <w:rsid w:val="004349AD"/>
  </w:style>
  <w:style w:type="character" w:customStyle="1" w:styleId="cs5efed22f1">
    <w:name w:val="cs5efed22f1"/>
    <w:rsid w:val="004349AD"/>
    <w:rPr>
      <w:rFonts w:ascii="Times New Roman" w:hAnsi="Times New Roman" w:cs="Times New Roman" w:hint="default"/>
      <w:b w:val="0"/>
      <w:bCs w:val="0"/>
      <w:i w:val="0"/>
      <w:iCs w:val="0"/>
      <w:color w:val="000000"/>
      <w:sz w:val="24"/>
      <w:szCs w:val="24"/>
      <w:shd w:val="clear" w:color="auto" w:fill="auto"/>
    </w:rPr>
  </w:style>
  <w:style w:type="paragraph" w:styleId="ac">
    <w:name w:val="No Spacing"/>
    <w:uiPriority w:val="1"/>
    <w:qFormat/>
    <w:rsid w:val="005733B5"/>
    <w:rPr>
      <w:rFonts w:ascii="Verdana" w:eastAsia="SimSun" w:hAnsi="Verdana" w:cs="Verdana"/>
      <w:sz w:val="18"/>
      <w:szCs w:val="18"/>
      <w:lang w:val="en-GB" w:eastAsia="zh-CN"/>
    </w:rPr>
  </w:style>
  <w:style w:type="paragraph" w:customStyle="1" w:styleId="Default">
    <w:name w:val="Default"/>
    <w:rsid w:val="00E41886"/>
    <w:pPr>
      <w:autoSpaceDE w:val="0"/>
      <w:autoSpaceDN w:val="0"/>
      <w:adjustRightInd w:val="0"/>
    </w:pPr>
    <w:rPr>
      <w:rFonts w:ascii="EUAlbertina" w:hAnsi="EUAlbertina" w:cs="EUAlbertina"/>
      <w:color w:val="000000"/>
      <w:sz w:val="24"/>
      <w:szCs w:val="24"/>
      <w:lang w:val="it-IT" w:eastAsia="it-IT"/>
    </w:rPr>
  </w:style>
  <w:style w:type="paragraph" w:styleId="ad">
    <w:name w:val="Revision"/>
    <w:hidden/>
    <w:uiPriority w:val="99"/>
    <w:semiHidden/>
    <w:rsid w:val="00F87C83"/>
    <w:rPr>
      <w:sz w:val="24"/>
      <w:szCs w:val="24"/>
      <w:lang w:val="ru-RU" w:eastAsia="ru-RU"/>
    </w:rPr>
  </w:style>
  <w:style w:type="paragraph" w:customStyle="1" w:styleId="cs3266721a">
    <w:name w:val="cs3266721a"/>
    <w:basedOn w:val="a"/>
    <w:rsid w:val="00F83556"/>
    <w:pPr>
      <w:ind w:firstLine="560"/>
      <w:jc w:val="both"/>
    </w:pPr>
    <w:rPr>
      <w:rFonts w:ascii="SAPGUI-Belize-Icons" w:eastAsia="Cambria Math" w:hAnsi="SAPGUI-Belize-Icons" w:cs="SAPGUI-Belize-Icons"/>
      <w:lang w:val="uk-UA" w:eastAsia="uk-UA"/>
    </w:rPr>
  </w:style>
  <w:style w:type="character" w:styleId="ae">
    <w:name w:val="annotation reference"/>
    <w:basedOn w:val="a0"/>
    <w:uiPriority w:val="99"/>
    <w:semiHidden/>
    <w:unhideWhenUsed/>
    <w:rsid w:val="0031261A"/>
    <w:rPr>
      <w:sz w:val="16"/>
      <w:szCs w:val="16"/>
    </w:rPr>
  </w:style>
  <w:style w:type="paragraph" w:styleId="af">
    <w:name w:val="annotation text"/>
    <w:basedOn w:val="a"/>
    <w:link w:val="af0"/>
    <w:uiPriority w:val="99"/>
    <w:semiHidden/>
    <w:unhideWhenUsed/>
    <w:rsid w:val="0031261A"/>
    <w:rPr>
      <w:sz w:val="20"/>
      <w:szCs w:val="20"/>
    </w:rPr>
  </w:style>
  <w:style w:type="character" w:customStyle="1" w:styleId="af0">
    <w:name w:val="Текст примітки Знак"/>
    <w:basedOn w:val="a0"/>
    <w:link w:val="af"/>
    <w:uiPriority w:val="99"/>
    <w:semiHidden/>
    <w:rsid w:val="0031261A"/>
    <w:rPr>
      <w:lang w:val="ru-RU" w:eastAsia="ru-RU"/>
    </w:rPr>
  </w:style>
  <w:style w:type="paragraph" w:styleId="af1">
    <w:name w:val="annotation subject"/>
    <w:basedOn w:val="af"/>
    <w:next w:val="af"/>
    <w:link w:val="af2"/>
    <w:uiPriority w:val="99"/>
    <w:semiHidden/>
    <w:unhideWhenUsed/>
    <w:rsid w:val="0031261A"/>
    <w:rPr>
      <w:b/>
      <w:bCs/>
    </w:rPr>
  </w:style>
  <w:style w:type="character" w:customStyle="1" w:styleId="af2">
    <w:name w:val="Тема примітки Знак"/>
    <w:basedOn w:val="af0"/>
    <w:link w:val="af1"/>
    <w:uiPriority w:val="99"/>
    <w:semiHidden/>
    <w:rsid w:val="0031261A"/>
    <w:rPr>
      <w:b/>
      <w:bCs/>
      <w:lang w:val="ru-RU" w:eastAsia="ru-RU"/>
    </w:rPr>
  </w:style>
  <w:style w:type="paragraph" w:styleId="af3">
    <w:name w:val="Balloon Text"/>
    <w:basedOn w:val="a"/>
    <w:link w:val="af4"/>
    <w:uiPriority w:val="99"/>
    <w:semiHidden/>
    <w:unhideWhenUsed/>
    <w:rsid w:val="0031261A"/>
    <w:rPr>
      <w:rFonts w:ascii="Tahoma" w:hAnsi="Tahoma" w:cs="Tahoma"/>
      <w:sz w:val="16"/>
      <w:szCs w:val="16"/>
    </w:rPr>
  </w:style>
  <w:style w:type="character" w:customStyle="1" w:styleId="af4">
    <w:name w:val="Текст у виносці Знак"/>
    <w:basedOn w:val="a0"/>
    <w:link w:val="af3"/>
    <w:uiPriority w:val="99"/>
    <w:semiHidden/>
    <w:rsid w:val="0031261A"/>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49864">
      <w:bodyDiv w:val="1"/>
      <w:marLeft w:val="0"/>
      <w:marRight w:val="0"/>
      <w:marTop w:val="0"/>
      <w:marBottom w:val="0"/>
      <w:divBdr>
        <w:top w:val="none" w:sz="0" w:space="0" w:color="auto"/>
        <w:left w:val="none" w:sz="0" w:space="0" w:color="auto"/>
        <w:bottom w:val="none" w:sz="0" w:space="0" w:color="auto"/>
        <w:right w:val="none" w:sz="0" w:space="0" w:color="auto"/>
      </w:divBdr>
    </w:div>
    <w:div w:id="20192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F8ABB-CA69-4959-B3A4-019C6AD4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8883</Words>
  <Characters>5064</Characters>
  <Application>Microsoft Office Word</Application>
  <DocSecurity>0</DocSecurity>
  <Lines>42</Lines>
  <Paragraphs>27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Додаток 1</vt:lpstr>
      <vt:lpstr>Додаток 1</vt:lpstr>
      <vt:lpstr>Додаток 1</vt:lpstr>
    </vt:vector>
  </TitlesOfParts>
  <Company>Microsoft</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Admin</dc:creator>
  <cp:keywords/>
  <dc:description/>
  <cp:lastModifiedBy>admin</cp:lastModifiedBy>
  <cp:revision>48</cp:revision>
  <cp:lastPrinted>2026-02-23T16:22:00Z</cp:lastPrinted>
  <dcterms:created xsi:type="dcterms:W3CDTF">2025-11-30T13:14:00Z</dcterms:created>
  <dcterms:modified xsi:type="dcterms:W3CDTF">2026-04-25T09:36:00Z</dcterms:modified>
</cp:coreProperties>
</file>