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D110" w14:textId="77777777" w:rsidR="00122345" w:rsidRPr="00122345" w:rsidRDefault="00122345" w:rsidP="00122345">
      <w:pPr>
        <w:ind w:firstLine="425"/>
        <w:jc w:val="center"/>
        <w:rPr>
          <w:b/>
          <w:bCs/>
          <w:bdr w:val="none" w:sz="0" w:space="0" w:color="auto" w:frame="1"/>
          <w:lang w:val="uk-UA"/>
        </w:rPr>
      </w:pPr>
      <w:r w:rsidRPr="00122345">
        <w:rPr>
          <w:b/>
          <w:bCs/>
          <w:bdr w:val="none" w:sz="0" w:space="0" w:color="auto" w:frame="1"/>
          <w:lang w:val="uk-UA"/>
        </w:rPr>
        <w:t>Коротка характеристика препарату</w:t>
      </w:r>
    </w:p>
    <w:p w14:paraId="6F4412F3" w14:textId="77777777" w:rsidR="00122345" w:rsidRPr="00122345" w:rsidRDefault="00122345" w:rsidP="00122345">
      <w:pPr>
        <w:ind w:firstLine="425"/>
        <w:jc w:val="both"/>
        <w:rPr>
          <w:lang w:val="uk-UA"/>
        </w:rPr>
      </w:pPr>
    </w:p>
    <w:p w14:paraId="2197E0B3" w14:textId="77777777" w:rsidR="00122345" w:rsidRPr="00122345" w:rsidRDefault="00122345" w:rsidP="00122345">
      <w:pPr>
        <w:numPr>
          <w:ilvl w:val="0"/>
          <w:numId w:val="9"/>
        </w:numPr>
        <w:contextualSpacing/>
        <w:jc w:val="both"/>
        <w:rPr>
          <w:b/>
          <w:bdr w:val="none" w:sz="0" w:space="0" w:color="auto" w:frame="1"/>
        </w:rPr>
      </w:pPr>
      <w:bookmarkStart w:id="0" w:name="bookmark0"/>
      <w:r w:rsidRPr="00122345">
        <w:rPr>
          <w:b/>
          <w:bdr w:val="none" w:sz="0" w:space="0" w:color="auto" w:frame="1"/>
        </w:rPr>
        <w:t>Назва</w:t>
      </w:r>
      <w:bookmarkEnd w:id="0"/>
    </w:p>
    <w:p w14:paraId="5A940692" w14:textId="77777777" w:rsidR="00122345" w:rsidRPr="00122345" w:rsidRDefault="00122345" w:rsidP="00122345">
      <w:pPr>
        <w:ind w:firstLine="632"/>
        <w:jc w:val="both"/>
        <w:rPr>
          <w:bdr w:val="none" w:sz="0" w:space="0" w:color="auto" w:frame="1"/>
        </w:rPr>
      </w:pPr>
      <w:r w:rsidRPr="00122345">
        <w:rPr>
          <w:bdr w:val="none" w:sz="0" w:space="0" w:color="auto" w:frame="1"/>
        </w:rPr>
        <w:t>СПЕКТРАН</w:t>
      </w:r>
    </w:p>
    <w:p w14:paraId="7BCCFD2E" w14:textId="77777777" w:rsidR="00122345" w:rsidRPr="00122345" w:rsidRDefault="00122345" w:rsidP="00122345">
      <w:pPr>
        <w:numPr>
          <w:ilvl w:val="0"/>
          <w:numId w:val="9"/>
        </w:numPr>
        <w:contextualSpacing/>
        <w:jc w:val="both"/>
        <w:rPr>
          <w:b/>
          <w:bdr w:val="none" w:sz="0" w:space="0" w:color="auto" w:frame="1"/>
        </w:rPr>
      </w:pPr>
      <w:bookmarkStart w:id="1" w:name="bookmark1"/>
      <w:r w:rsidRPr="00122345">
        <w:rPr>
          <w:b/>
          <w:bdr w:val="none" w:sz="0" w:space="0" w:color="auto" w:frame="1"/>
        </w:rPr>
        <w:t>Склад</w:t>
      </w:r>
      <w:bookmarkEnd w:id="1"/>
    </w:p>
    <w:p w14:paraId="0219CE5E" w14:textId="77777777" w:rsidR="00122345" w:rsidRPr="00122345" w:rsidRDefault="00122345" w:rsidP="00122345">
      <w:pPr>
        <w:ind w:firstLine="632"/>
        <w:jc w:val="both"/>
        <w:rPr>
          <w:bdr w:val="none" w:sz="0" w:space="0" w:color="auto" w:frame="1"/>
          <w:lang w:eastAsia="en-US"/>
        </w:rPr>
      </w:pPr>
      <w:bookmarkStart w:id="2" w:name="bookmark2"/>
      <w:r w:rsidRPr="00122345">
        <w:rPr>
          <w:bdr w:val="none" w:sz="0" w:space="0" w:color="auto" w:frame="1"/>
          <w:lang w:eastAsia="en-US"/>
        </w:rPr>
        <w:t>1 мл препарату містить діюч</w:t>
      </w:r>
      <w:r w:rsidRPr="00122345">
        <w:rPr>
          <w:bdr w:val="none" w:sz="0" w:space="0" w:color="auto" w:frame="1"/>
          <w:lang w:val="uk-UA" w:eastAsia="en-US"/>
        </w:rPr>
        <w:t>і</w:t>
      </w:r>
      <w:r w:rsidRPr="00122345">
        <w:rPr>
          <w:bdr w:val="none" w:sz="0" w:space="0" w:color="auto" w:frame="1"/>
          <w:lang w:eastAsia="en-US"/>
        </w:rPr>
        <w:t xml:space="preserve"> речовин</w:t>
      </w:r>
      <w:r w:rsidRPr="00122345">
        <w:rPr>
          <w:bdr w:val="none" w:sz="0" w:space="0" w:color="auto" w:frame="1"/>
          <w:lang w:val="uk-UA" w:eastAsia="en-US"/>
        </w:rPr>
        <w:t>и</w:t>
      </w:r>
      <w:r w:rsidRPr="00122345">
        <w:rPr>
          <w:bdr w:val="none" w:sz="0" w:space="0" w:color="auto" w:frame="1"/>
          <w:lang w:eastAsia="en-US"/>
        </w:rPr>
        <w:t>:</w:t>
      </w:r>
    </w:p>
    <w:p w14:paraId="330E9AFB" w14:textId="77777777" w:rsidR="00122345" w:rsidRPr="00122345" w:rsidRDefault="00122345" w:rsidP="00122345">
      <w:pPr>
        <w:shd w:val="clear" w:color="auto" w:fill="FFFFFF"/>
        <w:ind w:firstLine="632"/>
        <w:jc w:val="both"/>
        <w:rPr>
          <w:bdr w:val="none" w:sz="0" w:space="0" w:color="auto" w:frame="1"/>
          <w:lang w:val="uk-UA" w:eastAsia="en-US"/>
        </w:rPr>
      </w:pPr>
      <w:r w:rsidRPr="00122345">
        <w:rPr>
          <w:bdr w:val="none" w:sz="0" w:space="0" w:color="auto" w:frame="1"/>
          <w:lang w:eastAsia="en-US"/>
        </w:rPr>
        <w:t>амоксицилін (у формі амоксициліну тригідрату) – 150,0 мг</w:t>
      </w:r>
      <w:r w:rsidRPr="00122345">
        <w:rPr>
          <w:bdr w:val="none" w:sz="0" w:space="0" w:color="auto" w:frame="1"/>
          <w:lang w:val="uk-UA" w:eastAsia="en-US"/>
        </w:rPr>
        <w:t>;</w:t>
      </w:r>
    </w:p>
    <w:p w14:paraId="525C56D1" w14:textId="77777777" w:rsidR="00122345" w:rsidRPr="00122345" w:rsidRDefault="00122345" w:rsidP="00122345">
      <w:pPr>
        <w:shd w:val="clear" w:color="auto" w:fill="FFFFFF"/>
        <w:ind w:firstLine="632"/>
        <w:jc w:val="both"/>
        <w:rPr>
          <w:bdr w:val="none" w:sz="0" w:space="0" w:color="auto" w:frame="1"/>
          <w:lang w:val="uk-UA" w:eastAsia="en-US"/>
        </w:rPr>
      </w:pPr>
      <w:r w:rsidRPr="00122345">
        <w:rPr>
          <w:bdr w:val="none" w:sz="0" w:space="0" w:color="auto" w:frame="1"/>
          <w:lang w:val="uk-UA" w:eastAsia="en-US"/>
        </w:rPr>
        <w:t>бетаметазону дипропіонат (в перерахунку на бетаметазон</w:t>
      </w:r>
      <w:r w:rsidRPr="00122345">
        <w:rPr>
          <w:bdr w:val="none" w:sz="0" w:space="0" w:color="auto" w:frame="1"/>
          <w:lang w:eastAsia="en-US"/>
        </w:rPr>
        <w:t xml:space="preserve">) – </w:t>
      </w:r>
      <w:r w:rsidRPr="00122345">
        <w:rPr>
          <w:bdr w:val="none" w:sz="0" w:space="0" w:color="auto" w:frame="1"/>
          <w:lang w:val="uk-UA" w:eastAsia="en-US"/>
        </w:rPr>
        <w:t>0</w:t>
      </w:r>
      <w:r w:rsidRPr="00122345">
        <w:rPr>
          <w:bdr w:val="none" w:sz="0" w:space="0" w:color="auto" w:frame="1"/>
          <w:lang w:eastAsia="en-US"/>
        </w:rPr>
        <w:t>,</w:t>
      </w:r>
      <w:r w:rsidRPr="00122345">
        <w:rPr>
          <w:bdr w:val="none" w:sz="0" w:space="0" w:color="auto" w:frame="1"/>
          <w:lang w:val="uk-UA" w:eastAsia="en-US"/>
        </w:rPr>
        <w:t>5</w:t>
      </w:r>
      <w:r w:rsidRPr="00122345">
        <w:rPr>
          <w:bdr w:val="none" w:sz="0" w:space="0" w:color="auto" w:frame="1"/>
          <w:lang w:eastAsia="en-US"/>
        </w:rPr>
        <w:t xml:space="preserve"> мг</w:t>
      </w:r>
      <w:r w:rsidRPr="00122345">
        <w:rPr>
          <w:bdr w:val="none" w:sz="0" w:space="0" w:color="auto" w:frame="1"/>
          <w:lang w:val="uk-UA" w:eastAsia="en-US"/>
        </w:rPr>
        <w:t>.</w:t>
      </w:r>
    </w:p>
    <w:p w14:paraId="3B7B7348" w14:textId="77777777" w:rsidR="00122345" w:rsidRPr="00122345" w:rsidRDefault="00122345" w:rsidP="00122345">
      <w:pPr>
        <w:ind w:firstLine="632"/>
        <w:jc w:val="both"/>
        <w:rPr>
          <w:kern w:val="2"/>
          <w:lang w:val="uk-UA" w:eastAsia="ar-SA"/>
        </w:rPr>
      </w:pPr>
      <w:r w:rsidRPr="00122345">
        <w:rPr>
          <w:bdr w:val="none" w:sz="0" w:space="0" w:color="auto" w:frame="1"/>
          <w:lang w:val="uk-UA" w:eastAsia="en-US"/>
        </w:rPr>
        <w:t xml:space="preserve">Допоміжні речовини: </w:t>
      </w:r>
      <w:r w:rsidRPr="00122345">
        <w:rPr>
          <w:lang w:val="uk-UA" w:eastAsia="en-US"/>
        </w:rPr>
        <w:t>спирт бензиловий, бутилгідроксианізол, бутилгідроксітолуол, пропіленгліколь дикаприлат/дикапрат.</w:t>
      </w:r>
    </w:p>
    <w:p w14:paraId="0A026574" w14:textId="77777777" w:rsidR="00122345" w:rsidRPr="00122345" w:rsidRDefault="00122345" w:rsidP="00122345">
      <w:pPr>
        <w:numPr>
          <w:ilvl w:val="0"/>
          <w:numId w:val="9"/>
        </w:numPr>
        <w:shd w:val="clear" w:color="auto" w:fill="FFFFFF"/>
        <w:contextualSpacing/>
        <w:jc w:val="both"/>
        <w:rPr>
          <w:b/>
          <w:bdr w:val="none" w:sz="0" w:space="0" w:color="auto" w:frame="1"/>
        </w:rPr>
      </w:pPr>
      <w:r w:rsidRPr="00122345">
        <w:rPr>
          <w:b/>
          <w:bdr w:val="none" w:sz="0" w:space="0" w:color="auto" w:frame="1"/>
        </w:rPr>
        <w:t>Фармацевтична форма</w:t>
      </w:r>
      <w:bookmarkEnd w:id="2"/>
    </w:p>
    <w:p w14:paraId="18FAD3E2" w14:textId="77777777" w:rsidR="00122345" w:rsidRPr="00122345" w:rsidRDefault="00122345" w:rsidP="00122345">
      <w:pPr>
        <w:ind w:firstLine="632"/>
        <w:jc w:val="both"/>
        <w:rPr>
          <w:bdr w:val="none" w:sz="0" w:space="0" w:color="auto" w:frame="1"/>
        </w:rPr>
      </w:pPr>
      <w:r w:rsidRPr="00122345">
        <w:rPr>
          <w:bdr w:val="none" w:sz="0" w:space="0" w:color="auto" w:frame="1"/>
        </w:rPr>
        <w:t>Суспензія для ін’єкцій.</w:t>
      </w:r>
    </w:p>
    <w:p w14:paraId="699F362D" w14:textId="77777777" w:rsidR="00122345" w:rsidRPr="00122345" w:rsidRDefault="00122345" w:rsidP="00122345">
      <w:pPr>
        <w:numPr>
          <w:ilvl w:val="0"/>
          <w:numId w:val="9"/>
        </w:numPr>
        <w:contextualSpacing/>
        <w:jc w:val="both"/>
        <w:rPr>
          <w:b/>
          <w:bdr w:val="none" w:sz="0" w:space="0" w:color="auto" w:frame="1"/>
        </w:rPr>
      </w:pPr>
      <w:bookmarkStart w:id="3" w:name="bookmark3"/>
      <w:r w:rsidRPr="00122345">
        <w:rPr>
          <w:b/>
          <w:bdr w:val="none" w:sz="0" w:space="0" w:color="auto" w:frame="1"/>
        </w:rPr>
        <w:t>Фармакологічні властивості</w:t>
      </w:r>
      <w:bookmarkEnd w:id="3"/>
    </w:p>
    <w:p w14:paraId="1BEE5B94" w14:textId="77777777" w:rsidR="00122345" w:rsidRPr="00122345" w:rsidRDefault="00122345" w:rsidP="00122345">
      <w:pPr>
        <w:suppressAutoHyphens/>
        <w:ind w:firstLine="567"/>
        <w:contextualSpacing/>
        <w:jc w:val="both"/>
        <w:rPr>
          <w:b/>
          <w:i/>
          <w:kern w:val="2"/>
          <w:lang w:val="uk-UA" w:eastAsia="ar-SA"/>
        </w:rPr>
      </w:pPr>
      <w:bookmarkStart w:id="4" w:name="bookmark4"/>
      <w:r w:rsidRPr="00122345">
        <w:rPr>
          <w:b/>
          <w:i/>
          <w:lang w:eastAsia="en-US"/>
        </w:rPr>
        <w:t>АТС vet класиф</w:t>
      </w:r>
      <w:r w:rsidRPr="00122345">
        <w:rPr>
          <w:b/>
          <w:i/>
          <w:lang w:val="uk-UA" w:eastAsia="en-US"/>
        </w:rPr>
        <w:t>ік</w:t>
      </w:r>
      <w:r w:rsidRPr="00122345">
        <w:rPr>
          <w:b/>
          <w:i/>
          <w:lang w:eastAsia="en-US"/>
        </w:rPr>
        <w:t>ац</w:t>
      </w:r>
      <w:r w:rsidRPr="00122345">
        <w:rPr>
          <w:b/>
          <w:i/>
          <w:lang w:val="uk-UA" w:eastAsia="en-US"/>
        </w:rPr>
        <w:t>ій</w:t>
      </w:r>
      <w:r w:rsidRPr="00122345">
        <w:rPr>
          <w:b/>
          <w:i/>
          <w:lang w:eastAsia="en-US"/>
        </w:rPr>
        <w:t>ний код QJ01</w:t>
      </w:r>
      <w:r w:rsidRPr="00122345">
        <w:rPr>
          <w:b/>
          <w:i/>
          <w:lang w:val="uk-UA" w:eastAsia="en-US"/>
        </w:rPr>
        <w:t xml:space="preserve"> – </w:t>
      </w:r>
      <w:r w:rsidRPr="00122345">
        <w:rPr>
          <w:b/>
          <w:i/>
          <w:lang w:eastAsia="en-US"/>
        </w:rPr>
        <w:t>антибактер</w:t>
      </w:r>
      <w:r w:rsidRPr="00122345">
        <w:rPr>
          <w:b/>
          <w:i/>
          <w:lang w:val="uk-UA" w:eastAsia="en-US"/>
        </w:rPr>
        <w:t>і</w:t>
      </w:r>
      <w:r w:rsidRPr="00122345">
        <w:rPr>
          <w:b/>
          <w:i/>
          <w:lang w:eastAsia="en-US"/>
        </w:rPr>
        <w:t>а</w:t>
      </w:r>
      <w:r w:rsidRPr="00122345">
        <w:rPr>
          <w:b/>
          <w:i/>
          <w:lang w:val="uk-UA" w:eastAsia="en-US"/>
        </w:rPr>
        <w:t>льні</w:t>
      </w:r>
      <w:r w:rsidRPr="00122345">
        <w:rPr>
          <w:b/>
          <w:i/>
          <w:lang w:eastAsia="en-US"/>
        </w:rPr>
        <w:t xml:space="preserve"> ветеринар</w:t>
      </w:r>
      <w:r w:rsidRPr="00122345">
        <w:rPr>
          <w:b/>
          <w:i/>
          <w:lang w:val="uk-UA" w:eastAsia="en-US"/>
        </w:rPr>
        <w:t>ні</w:t>
      </w:r>
      <w:r w:rsidRPr="00122345">
        <w:rPr>
          <w:b/>
          <w:i/>
          <w:lang w:eastAsia="en-US"/>
        </w:rPr>
        <w:t xml:space="preserve"> препарати для системного</w:t>
      </w:r>
      <w:r w:rsidRPr="00122345">
        <w:rPr>
          <w:b/>
          <w:i/>
          <w:kern w:val="2"/>
          <w:lang w:val="uk-UA" w:eastAsia="ar-SA"/>
        </w:rPr>
        <w:t xml:space="preserve"> </w:t>
      </w:r>
      <w:r w:rsidRPr="00122345">
        <w:rPr>
          <w:b/>
          <w:i/>
          <w:lang w:eastAsia="en-US"/>
        </w:rPr>
        <w:t>застосування</w:t>
      </w:r>
      <w:r w:rsidRPr="00122345">
        <w:rPr>
          <w:b/>
          <w:i/>
          <w:lang w:val="uk-UA" w:eastAsia="en-US"/>
        </w:rPr>
        <w:t>.</w:t>
      </w:r>
      <w:r w:rsidRPr="00122345">
        <w:rPr>
          <w:b/>
          <w:i/>
          <w:lang w:eastAsia="en-US"/>
        </w:rPr>
        <w:t xml:space="preserve"> </w:t>
      </w:r>
      <w:r w:rsidRPr="00122345">
        <w:rPr>
          <w:b/>
          <w:i/>
          <w:lang w:val="en-US" w:eastAsia="en-US"/>
        </w:rPr>
        <w:t>QJ</w:t>
      </w:r>
      <w:r w:rsidRPr="00122345">
        <w:rPr>
          <w:b/>
          <w:i/>
          <w:lang w:eastAsia="en-US"/>
        </w:rPr>
        <w:t>01</w:t>
      </w:r>
      <w:r w:rsidRPr="00122345">
        <w:rPr>
          <w:b/>
          <w:i/>
          <w:lang w:val="en-US" w:eastAsia="en-US"/>
        </w:rPr>
        <w:t>RV</w:t>
      </w:r>
      <w:r w:rsidRPr="00122345">
        <w:rPr>
          <w:b/>
          <w:i/>
          <w:lang w:eastAsia="en-US"/>
        </w:rPr>
        <w:t xml:space="preserve">01- </w:t>
      </w:r>
      <w:r w:rsidRPr="00122345">
        <w:rPr>
          <w:b/>
          <w:i/>
          <w:lang w:val="uk-UA" w:eastAsia="en-US"/>
        </w:rPr>
        <w:t>Протимікробні ветеринарні препарати і кортикостероїди.</w:t>
      </w:r>
    </w:p>
    <w:p w14:paraId="223C0094" w14:textId="77777777" w:rsidR="00122345" w:rsidRPr="00122345" w:rsidRDefault="00122345" w:rsidP="00122345">
      <w:pPr>
        <w:ind w:firstLine="567"/>
        <w:contextualSpacing/>
        <w:jc w:val="both"/>
        <w:rPr>
          <w:lang w:val="uk-UA"/>
        </w:rPr>
      </w:pPr>
      <w:r w:rsidRPr="00122345">
        <w:rPr>
          <w:lang w:val="uk-UA"/>
        </w:rPr>
        <w:t>СПЕКТРАН – комплексний препарат, що має виражену протимікробну та протизапальну дію. Діючими речовинами препарату є антибіотик амоксицилін, та кортикостероїд бетаметазон.</w:t>
      </w:r>
    </w:p>
    <w:p w14:paraId="72EEF000"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Амоксицилін – це антибіотик широкої бактерицидної дії з групи амінопеніцилінів. Він перешкоджає синтезу клітинної стінки, гальмуючи ферменти транспептидазу та карбоксипептидазу, спричиняє порушення осмотичного балансу, що призводить до загибелі бактерій на етапі їх росту. Препарат активний щодо грампозитивних (</w:t>
      </w:r>
      <w:r w:rsidRPr="00122345">
        <w:rPr>
          <w:i/>
          <w:kern w:val="2"/>
          <w:lang w:val="uk-UA" w:eastAsia="ar-SA"/>
        </w:rPr>
        <w:t>Streptococcus spp., Bacillus anthracis, Actinomyces spp., Clostridium spp., Corynebacterium spp., Erysipelothrix rhusiopathiae, Listeria monocytogenes</w:t>
      </w:r>
      <w:r w:rsidRPr="00122345">
        <w:rPr>
          <w:kern w:val="2"/>
          <w:lang w:val="uk-UA" w:eastAsia="ar-SA"/>
        </w:rPr>
        <w:t>) та грамнегативних (</w:t>
      </w:r>
      <w:r w:rsidRPr="00122345">
        <w:rPr>
          <w:i/>
          <w:kern w:val="2"/>
          <w:lang w:val="uk-UA" w:eastAsia="ar-SA"/>
        </w:rPr>
        <w:t>E. сoli, Pasteurella spp., Haemophilus spp., Actinobacillus spp., Bordetella bronchiseptica, Fusobacterium spp., Moraxella spp., Proteus mirabilis, Salmonella spp.</w:t>
      </w:r>
      <w:r w:rsidRPr="00122345">
        <w:rPr>
          <w:kern w:val="2"/>
          <w:lang w:val="uk-UA" w:eastAsia="ar-SA"/>
        </w:rPr>
        <w:t xml:space="preserve">) мікроорганізмів. </w:t>
      </w:r>
      <w:r w:rsidRPr="00122345">
        <w:rPr>
          <w:i/>
          <w:kern w:val="2"/>
          <w:lang w:val="uk-UA" w:eastAsia="ar-SA"/>
        </w:rPr>
        <w:t>Klebsiella</w:t>
      </w:r>
      <w:r w:rsidRPr="00122345">
        <w:rPr>
          <w:kern w:val="2"/>
          <w:lang w:val="uk-UA" w:eastAsia="ar-SA"/>
        </w:rPr>
        <w:t xml:space="preserve"> </w:t>
      </w:r>
      <w:r w:rsidRPr="00122345">
        <w:rPr>
          <w:i/>
          <w:kern w:val="2"/>
          <w:lang w:val="uk-UA" w:eastAsia="ar-SA"/>
        </w:rPr>
        <w:t xml:space="preserve">spp. </w:t>
      </w:r>
      <w:r w:rsidRPr="00122345">
        <w:rPr>
          <w:kern w:val="2"/>
          <w:lang w:val="uk-UA" w:eastAsia="ar-SA"/>
        </w:rPr>
        <w:t xml:space="preserve">та </w:t>
      </w:r>
      <w:r w:rsidRPr="00122345">
        <w:rPr>
          <w:i/>
          <w:kern w:val="2"/>
          <w:lang w:val="uk-UA" w:eastAsia="ar-SA"/>
        </w:rPr>
        <w:t>Enterobacter spp.</w:t>
      </w:r>
      <w:r w:rsidRPr="00122345">
        <w:rPr>
          <w:kern w:val="2"/>
          <w:lang w:val="uk-UA" w:eastAsia="ar-SA"/>
        </w:rPr>
        <w:t xml:space="preserve">, а також </w:t>
      </w:r>
      <w:r w:rsidRPr="00122345">
        <w:rPr>
          <w:i/>
          <w:kern w:val="2"/>
          <w:lang w:val="uk-UA" w:eastAsia="ar-SA"/>
        </w:rPr>
        <w:t>Pseudomonas spp.</w:t>
      </w:r>
      <w:r w:rsidRPr="00122345">
        <w:rPr>
          <w:kern w:val="2"/>
          <w:lang w:val="uk-UA" w:eastAsia="ar-SA"/>
        </w:rPr>
        <w:t xml:space="preserve"> – резистентні до амоксициліну.</w:t>
      </w:r>
    </w:p>
    <w:p w14:paraId="537A1FB8"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 xml:space="preserve">Бетаметазон належить до групи синтетичних кортикостероїдів (гормонів кори надниркових залоз), має протизапальну, протисвербіжну, протиалергічну та антипроліферативну дії. </w:t>
      </w:r>
    </w:p>
    <w:p w14:paraId="0F1FA918"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Бетаметазон пригнічує функції лейкоцитів і тканинних макрофагів. Він обмежує міграцію лейкоцитів в область запалення, порушує здатність макрофагів до фагоцитозу, а також до утворення інтерлейкіну-1. Бетаметазон прияє стабілізації лізосомальних мембран, знижуючи тим самим концентрацію протеолітичних ферментів в ділянці запалення. Він зменшує проникність капілярів, обумовлену вивільненням гістаміну, а також пригнічує активність фібробластів і утворення колагену. Бетаметазон забезпечує пролонговану дію препарату.</w:t>
      </w:r>
    </w:p>
    <w:p w14:paraId="4CA6A9A0"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Після парентерального введення</w:t>
      </w:r>
      <w:r w:rsidRPr="00122345">
        <w:rPr>
          <w:sz w:val="16"/>
          <w:szCs w:val="16"/>
          <w:lang w:val="uk-UA"/>
        </w:rPr>
        <w:t xml:space="preserve"> </w:t>
      </w:r>
      <w:r w:rsidRPr="00122345">
        <w:rPr>
          <w:lang w:val="uk-UA"/>
        </w:rPr>
        <w:t>великій рогатій худобі та свиням</w:t>
      </w:r>
      <w:r w:rsidRPr="00122345">
        <w:rPr>
          <w:kern w:val="2"/>
          <w:lang w:val="uk-UA" w:eastAsia="ar-SA"/>
        </w:rPr>
        <w:t xml:space="preserve"> амоксицилін добре всмоктується з місця введення у кров та швидко, через незначне з'єднання з протеїнами плазми крові (17-20%</w:t>
      </w:r>
      <w:r w:rsidRPr="00122345">
        <w:rPr>
          <w:lang w:val="uk-UA"/>
        </w:rPr>
        <w:t>, у собак – 13%</w:t>
      </w:r>
      <w:r w:rsidRPr="00122345">
        <w:rPr>
          <w:kern w:val="2"/>
          <w:lang w:val="uk-UA" w:eastAsia="ar-SA"/>
        </w:rPr>
        <w:t xml:space="preserve">), розподіляється в організмі, в м'язовій тканині, печінці, нирках, травному каналі, підтримуючи терапевтичну концентрацію протягом тривалого часу (48-72 год). Амоксицилін у невеликій кількості проникає в мозок і кісткову рідину, за винятком випадків, коли мозкова оболонка запалена. Максимальна концентрація амоксициліну в плазмі крові досягається через 2-3 години після введення </w:t>
      </w:r>
    </w:p>
    <w:p w14:paraId="30C649E6"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Після внутрішньом’язового введення</w:t>
      </w:r>
      <w:r w:rsidRPr="00122345">
        <w:rPr>
          <w:sz w:val="16"/>
          <w:szCs w:val="16"/>
          <w:lang w:val="uk-UA"/>
        </w:rPr>
        <w:t xml:space="preserve"> </w:t>
      </w:r>
      <w:r w:rsidRPr="00122345">
        <w:rPr>
          <w:lang w:val="uk-UA"/>
        </w:rPr>
        <w:t>великій рогатій худобі та свиням</w:t>
      </w:r>
      <w:r w:rsidRPr="00122345">
        <w:rPr>
          <w:kern w:val="2"/>
          <w:lang w:val="uk-UA" w:eastAsia="ar-SA"/>
        </w:rPr>
        <w:t xml:space="preserve"> в дозі 15 мг/кг амоксицилін добре абсорбується за системної біодоступності в діапазоні 60 - 100%. Максимальна концентрації амоксициліну у плазмі крові (1,5 - 4,5 мкг/мл, залежно від виду тварин) спостерігається через 1,5-3 години після парентерального введення. </w:t>
      </w:r>
    </w:p>
    <w:p w14:paraId="420DD02D"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Після повторного застосування амоксициліну через 48 годин фармакокінетичні параметри залишаються стабільними, явища накопичення не спостерігаються. Терапевтичні концентрації амоксициліну в плазмі крові підтримуються протягом більш, ніж 32 годин після першої ін'єкції та до 36 годин – після другої ін'єкції.</w:t>
      </w:r>
    </w:p>
    <w:p w14:paraId="26F81D19"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lastRenderedPageBreak/>
        <w:t>Амоксицилін метаболізується в печінці до метаболітів (амоксицилінової кислоти і амоксицилін дікетопіперазину). Виводиться з організму переважно з сечею, меншою мірою з молоком і з жовчю.</w:t>
      </w:r>
    </w:p>
    <w:p w14:paraId="17811E41" w14:textId="77777777" w:rsidR="00122345" w:rsidRPr="00122345" w:rsidRDefault="00122345" w:rsidP="00122345">
      <w:pPr>
        <w:suppressAutoHyphens/>
        <w:ind w:firstLine="567"/>
        <w:contextualSpacing/>
        <w:jc w:val="both"/>
        <w:rPr>
          <w:kern w:val="2"/>
          <w:lang w:val="uk-UA" w:eastAsia="ar-SA"/>
        </w:rPr>
      </w:pPr>
      <w:r w:rsidRPr="00122345">
        <w:rPr>
          <w:kern w:val="2"/>
          <w:lang w:val="uk-UA" w:eastAsia="ar-SA"/>
        </w:rPr>
        <w:t>Бетаметазон є практично нерозчинним з'єднанням і утворює депо в місці ін'єкції, тому він повільно всмоктується і забезпечує усунення симптомів на більш тривалий період. Біодоступність бетаметазону становить приблизно 72 %, період напіввиведення – 5,6 год. Бетаметазон зв’язується з білками плазми крові, переважно з альбумінами, на 64 %. Легко долає плацентарний, гематоенцефалічний та інші гістогематичні бар’єри. Біотрансформується бетаметазон у печінці з утворенням неактивних метаболітів. Виводиться з організму переважно нирками, і лише незначна частина виводиться з жовчю.</w:t>
      </w:r>
    </w:p>
    <w:p w14:paraId="4F7252BE" w14:textId="77777777" w:rsidR="00122345" w:rsidRPr="00122345" w:rsidRDefault="00122345" w:rsidP="00122345">
      <w:pPr>
        <w:ind w:firstLine="567"/>
        <w:contextualSpacing/>
        <w:jc w:val="both"/>
        <w:rPr>
          <w:b/>
          <w:bdr w:val="none" w:sz="0" w:space="0" w:color="auto" w:frame="1"/>
        </w:rPr>
      </w:pPr>
      <w:r w:rsidRPr="00122345">
        <w:rPr>
          <w:b/>
          <w:bdr w:val="none" w:sz="0" w:space="0" w:color="auto" w:frame="1"/>
        </w:rPr>
        <w:t>5.</w:t>
      </w:r>
      <w:r w:rsidRPr="00122345">
        <w:rPr>
          <w:b/>
          <w:bdr w:val="none" w:sz="0" w:space="0" w:color="auto" w:frame="1"/>
          <w:lang w:val="uk-UA"/>
        </w:rPr>
        <w:t xml:space="preserve"> </w:t>
      </w:r>
      <w:r w:rsidRPr="00122345">
        <w:rPr>
          <w:b/>
          <w:bdr w:val="none" w:sz="0" w:space="0" w:color="auto" w:frame="1"/>
        </w:rPr>
        <w:t>Клінічні особливості</w:t>
      </w:r>
      <w:bookmarkEnd w:id="4"/>
    </w:p>
    <w:p w14:paraId="6FDD2687" w14:textId="77777777" w:rsidR="00122345" w:rsidRPr="00122345" w:rsidRDefault="00122345" w:rsidP="00122345">
      <w:pPr>
        <w:ind w:firstLine="567"/>
        <w:contextualSpacing/>
        <w:jc w:val="both"/>
        <w:rPr>
          <w:b/>
          <w:bdr w:val="none" w:sz="0" w:space="0" w:color="auto" w:frame="1"/>
        </w:rPr>
      </w:pPr>
      <w:bookmarkStart w:id="5" w:name="bookmark5"/>
      <w:r w:rsidRPr="00122345">
        <w:rPr>
          <w:b/>
          <w:bdr w:val="none" w:sz="0" w:space="0" w:color="auto" w:frame="1"/>
        </w:rPr>
        <w:t>5.1.</w:t>
      </w:r>
      <w:r w:rsidRPr="00122345">
        <w:rPr>
          <w:b/>
          <w:bdr w:val="none" w:sz="0" w:space="0" w:color="auto" w:frame="1"/>
          <w:lang w:val="uk-UA"/>
        </w:rPr>
        <w:t xml:space="preserve"> </w:t>
      </w:r>
      <w:r w:rsidRPr="00122345">
        <w:rPr>
          <w:b/>
          <w:bdr w:val="none" w:sz="0" w:space="0" w:color="auto" w:frame="1"/>
        </w:rPr>
        <w:t>Вид тварин</w:t>
      </w:r>
      <w:bookmarkEnd w:id="5"/>
    </w:p>
    <w:p w14:paraId="121BEB47"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t>Велика рогата худоба, свині, собаки, коти.</w:t>
      </w:r>
    </w:p>
    <w:p w14:paraId="541DBB5D" w14:textId="77777777" w:rsidR="00122345" w:rsidRPr="00122345" w:rsidRDefault="00122345" w:rsidP="00122345">
      <w:pPr>
        <w:ind w:firstLine="567"/>
        <w:contextualSpacing/>
        <w:jc w:val="both"/>
        <w:rPr>
          <w:b/>
          <w:bdr w:val="none" w:sz="0" w:space="0" w:color="auto" w:frame="1"/>
        </w:rPr>
      </w:pPr>
      <w:bookmarkStart w:id="6" w:name="bookmark6"/>
      <w:r w:rsidRPr="00122345">
        <w:rPr>
          <w:b/>
          <w:bdr w:val="none" w:sz="0" w:space="0" w:color="auto" w:frame="1"/>
        </w:rPr>
        <w:t>5.2.</w:t>
      </w:r>
      <w:r w:rsidRPr="00122345">
        <w:rPr>
          <w:b/>
          <w:bdr w:val="none" w:sz="0" w:space="0" w:color="auto" w:frame="1"/>
          <w:lang w:val="uk-UA"/>
        </w:rPr>
        <w:t xml:space="preserve"> </w:t>
      </w:r>
      <w:r w:rsidRPr="00122345">
        <w:rPr>
          <w:b/>
          <w:bdr w:val="none" w:sz="0" w:space="0" w:color="auto" w:frame="1"/>
        </w:rPr>
        <w:t>Показання до застосування</w:t>
      </w:r>
      <w:bookmarkEnd w:id="6"/>
    </w:p>
    <w:p w14:paraId="13A9BDF2" w14:textId="77777777" w:rsidR="00122345" w:rsidRPr="00122345" w:rsidRDefault="00122345" w:rsidP="00122345">
      <w:pPr>
        <w:shd w:val="clear" w:color="auto" w:fill="FFFFFF"/>
        <w:ind w:firstLine="567"/>
        <w:contextualSpacing/>
        <w:jc w:val="both"/>
        <w:rPr>
          <w:kern w:val="2"/>
          <w:lang w:val="uk-UA" w:eastAsia="ar-SA"/>
        </w:rPr>
      </w:pPr>
      <w:bookmarkStart w:id="7" w:name="bookmark7"/>
      <w:r w:rsidRPr="00122345">
        <w:rPr>
          <w:kern w:val="2"/>
          <w:lang w:val="uk-UA" w:eastAsia="ar-SA"/>
        </w:rPr>
        <w:t>Лікування великої рогатої худоби 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мастит, цистит, уретрит, пієлонефрит), суглобів, шкіри та м'яких тканин (пупкові інфекції, рани, абсцеси, запалення), що спричинені мікроорганізмами, чутливими до амоксициліну.</w:t>
      </w:r>
    </w:p>
    <w:p w14:paraId="71E8BA9D" w14:textId="77777777" w:rsidR="00122345" w:rsidRPr="00122345" w:rsidRDefault="00122345" w:rsidP="00122345">
      <w:pPr>
        <w:shd w:val="clear" w:color="auto" w:fill="FFFFFF"/>
        <w:ind w:firstLine="567"/>
        <w:contextualSpacing/>
        <w:jc w:val="both"/>
        <w:rPr>
          <w:kern w:val="2"/>
          <w:lang w:val="uk-UA" w:eastAsia="ar-SA"/>
        </w:rPr>
      </w:pPr>
      <w:r w:rsidRPr="00122345">
        <w:rPr>
          <w:kern w:val="2"/>
          <w:lang w:val="uk-UA"/>
        </w:rPr>
        <w:t xml:space="preserve">Лікування свиней </w:t>
      </w:r>
      <w:r w:rsidRPr="00122345">
        <w:rPr>
          <w:kern w:val="2"/>
          <w:lang w:val="uk-UA" w:eastAsia="ar-SA"/>
        </w:rPr>
        <w:t>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цистит, уретрит, пієлонефрит мастит, метрит-мастит-агалактія), суглобів, шкіри та м'яких тканин (пупкові інфекції, рани, абсцеси, запалення), лептоспірозі, актиномікозі, бешисі і паратифі, що спричинені мікроорганізмами, чутливими до амоксициліну.</w:t>
      </w:r>
    </w:p>
    <w:p w14:paraId="084C00BD" w14:textId="77777777" w:rsidR="00122345" w:rsidRPr="00122345" w:rsidRDefault="00122345" w:rsidP="00122345">
      <w:pPr>
        <w:ind w:firstLine="567"/>
        <w:contextualSpacing/>
        <w:jc w:val="both"/>
        <w:rPr>
          <w:kern w:val="2"/>
          <w:lang w:val="uk-UA" w:eastAsia="ar-SA"/>
        </w:rPr>
      </w:pPr>
      <w:r w:rsidRPr="00122345">
        <w:rPr>
          <w:kern w:val="2"/>
          <w:lang w:val="uk-UA" w:eastAsia="ar-SA"/>
        </w:rPr>
        <w:t>Лікування собак і котів 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мастит, цистит, уретрит, пієлонефрит), суглобів, шкіри та м'яких тканин, післяопераційних, ранових, післяродових, вторинних інфекціях, що спричинені мікроорганізмами, чутливими до амоксициліну.</w:t>
      </w:r>
    </w:p>
    <w:p w14:paraId="66C5151F" w14:textId="77777777" w:rsidR="00122345" w:rsidRPr="00122345" w:rsidRDefault="00122345" w:rsidP="00122345">
      <w:pPr>
        <w:ind w:left="992"/>
        <w:contextualSpacing/>
        <w:jc w:val="both"/>
        <w:rPr>
          <w:b/>
          <w:bdr w:val="none" w:sz="0" w:space="0" w:color="auto" w:frame="1"/>
          <w:lang w:val="uk-UA"/>
        </w:rPr>
      </w:pPr>
      <w:r w:rsidRPr="00122345">
        <w:rPr>
          <w:b/>
          <w:bdr w:val="none" w:sz="0" w:space="0" w:color="auto" w:frame="1"/>
          <w:lang w:val="uk-UA"/>
        </w:rPr>
        <w:t>5.3. Протипоказання</w:t>
      </w:r>
      <w:bookmarkEnd w:id="7"/>
    </w:p>
    <w:p w14:paraId="31C82486" w14:textId="77777777" w:rsidR="00122345" w:rsidRPr="00122345" w:rsidRDefault="00122345" w:rsidP="00122345">
      <w:pPr>
        <w:ind w:firstLine="567"/>
        <w:contextualSpacing/>
        <w:jc w:val="both"/>
        <w:rPr>
          <w:bdr w:val="none" w:sz="0" w:space="0" w:color="auto" w:frame="1"/>
          <w:lang w:val="uk-UA" w:eastAsia="en-US"/>
        </w:rPr>
      </w:pPr>
      <w:bookmarkStart w:id="8" w:name="bookmark8"/>
      <w:r w:rsidRPr="00122345">
        <w:rPr>
          <w:bdr w:val="none" w:sz="0" w:space="0" w:color="auto" w:frame="1"/>
          <w:lang w:val="uk-UA" w:eastAsia="en-US"/>
        </w:rPr>
        <w:t>Не застосовувати тваринам з підвищеною чутливістю до амоксициліну, бетаметазону та інших компонентів препарату.</w:t>
      </w:r>
    </w:p>
    <w:p w14:paraId="662DEF7C" w14:textId="77777777" w:rsidR="00122345" w:rsidRPr="00122345" w:rsidRDefault="00122345" w:rsidP="00122345">
      <w:pPr>
        <w:ind w:firstLine="567"/>
        <w:contextualSpacing/>
        <w:jc w:val="both"/>
        <w:rPr>
          <w:bdr w:val="none" w:sz="0" w:space="0" w:color="auto" w:frame="1"/>
          <w:lang w:val="uk-UA" w:eastAsia="en-US"/>
        </w:rPr>
      </w:pPr>
      <w:r w:rsidRPr="00122345">
        <w:rPr>
          <w:bdr w:val="none" w:sz="0" w:space="0" w:color="auto" w:frame="1"/>
          <w:lang w:val="uk-UA" w:eastAsia="en-US"/>
        </w:rPr>
        <w:t xml:space="preserve">Не застосовувати  кролям, мурчакам, хом'якам </w:t>
      </w:r>
      <w:r w:rsidRPr="00122345">
        <w:rPr>
          <w:spacing w:val="-4"/>
          <w:lang w:val="uk-UA"/>
        </w:rPr>
        <w:t>та іншим дрібним травоїдним тваринам</w:t>
      </w:r>
      <w:r w:rsidRPr="00122345">
        <w:rPr>
          <w:bdr w:val="none" w:sz="0" w:space="0" w:color="auto" w:frame="1"/>
          <w:lang w:val="uk-UA" w:eastAsia="en-US"/>
        </w:rPr>
        <w:t xml:space="preserve">. </w:t>
      </w:r>
    </w:p>
    <w:p w14:paraId="0B495AD7" w14:textId="77777777" w:rsidR="00122345" w:rsidRPr="00122345" w:rsidRDefault="00122345" w:rsidP="00122345">
      <w:pPr>
        <w:ind w:firstLine="567"/>
        <w:contextualSpacing/>
        <w:jc w:val="both"/>
        <w:rPr>
          <w:bdr w:val="none" w:sz="0" w:space="0" w:color="auto" w:frame="1"/>
          <w:lang w:val="uk-UA" w:eastAsia="en-US"/>
        </w:rPr>
      </w:pPr>
      <w:r w:rsidRPr="00122345">
        <w:rPr>
          <w:bdr w:val="none" w:sz="0" w:space="0" w:color="auto" w:frame="1"/>
        </w:rPr>
        <w:t>Не застосовувати тільним коровам в останній місяць тільності</w:t>
      </w:r>
      <w:r w:rsidRPr="00122345">
        <w:rPr>
          <w:bdr w:val="none" w:sz="0" w:space="0" w:color="auto" w:frame="1"/>
          <w:lang w:val="uk-UA"/>
        </w:rPr>
        <w:t xml:space="preserve">; </w:t>
      </w:r>
      <w:r w:rsidRPr="00122345">
        <w:rPr>
          <w:bdr w:val="none" w:sz="0" w:space="0" w:color="auto" w:frame="1"/>
        </w:rPr>
        <w:t>свиноматкам</w:t>
      </w:r>
      <w:r w:rsidRPr="00122345">
        <w:rPr>
          <w:bdr w:val="none" w:sz="0" w:space="0" w:color="auto" w:frame="1"/>
          <w:lang w:val="uk-UA"/>
        </w:rPr>
        <w:t>, собакам та кішкам</w:t>
      </w:r>
      <w:r w:rsidRPr="00122345">
        <w:rPr>
          <w:bdr w:val="none" w:sz="0" w:space="0" w:color="auto" w:frame="1"/>
        </w:rPr>
        <w:t xml:space="preserve"> у першу третину </w:t>
      </w:r>
      <w:r w:rsidRPr="00122345">
        <w:rPr>
          <w:bdr w:val="none" w:sz="0" w:space="0" w:color="auto" w:frame="1"/>
          <w:lang w:val="uk-UA"/>
        </w:rPr>
        <w:t>вагітності</w:t>
      </w:r>
      <w:r w:rsidRPr="00122345">
        <w:rPr>
          <w:bdr w:val="none" w:sz="0" w:space="0" w:color="auto" w:frame="1"/>
        </w:rPr>
        <w:t>.</w:t>
      </w:r>
    </w:p>
    <w:p w14:paraId="182EA813" w14:textId="77777777" w:rsidR="00122345" w:rsidRPr="00122345" w:rsidRDefault="00122345" w:rsidP="00122345">
      <w:pPr>
        <w:ind w:firstLine="567"/>
        <w:contextualSpacing/>
        <w:jc w:val="both"/>
        <w:rPr>
          <w:bdr w:val="none" w:sz="0" w:space="0" w:color="auto" w:frame="1"/>
          <w:lang w:val="uk-UA" w:eastAsia="en-US"/>
        </w:rPr>
      </w:pPr>
      <w:r w:rsidRPr="00122345">
        <w:rPr>
          <w:bdr w:val="none" w:sz="0" w:space="0" w:color="auto" w:frame="1"/>
          <w:lang w:val="uk-UA" w:eastAsia="en-US"/>
        </w:rPr>
        <w:t>Не застосовувати ослабленим, виснаженим тваринам та тваринам з важкою формою ниркової недостатності.</w:t>
      </w:r>
    </w:p>
    <w:p w14:paraId="50F29CB2" w14:textId="77777777" w:rsidR="00122345" w:rsidRPr="00122345" w:rsidRDefault="00122345" w:rsidP="00122345">
      <w:pPr>
        <w:ind w:firstLine="567"/>
        <w:contextualSpacing/>
        <w:jc w:val="both"/>
        <w:rPr>
          <w:kern w:val="2"/>
          <w:bdr w:val="none" w:sz="0" w:space="0" w:color="auto" w:frame="1"/>
          <w:shd w:val="clear" w:color="auto" w:fill="FFFFFF"/>
          <w:lang w:val="uk-UA" w:eastAsia="ar-SA"/>
        </w:rPr>
      </w:pPr>
      <w:r w:rsidRPr="00122345">
        <w:rPr>
          <w:bdr w:val="none" w:sz="0" w:space="0" w:color="auto" w:frame="1"/>
          <w:lang w:val="uk-UA" w:eastAsia="en-US"/>
        </w:rPr>
        <w:t>Не застосовувати одночасно з бактеріостатичними антибіо</w:t>
      </w:r>
      <w:r w:rsidRPr="00122345">
        <w:rPr>
          <w:kern w:val="2"/>
          <w:bdr w:val="none" w:sz="0" w:space="0" w:color="auto" w:frame="1"/>
          <w:shd w:val="clear" w:color="auto" w:fill="FFFFFF"/>
          <w:lang w:eastAsia="ar-SA"/>
        </w:rPr>
        <w:t>тиками (тетрациклін</w:t>
      </w:r>
      <w:r w:rsidRPr="00122345">
        <w:rPr>
          <w:kern w:val="2"/>
          <w:bdr w:val="none" w:sz="0" w:space="0" w:color="auto" w:frame="1"/>
          <w:shd w:val="clear" w:color="auto" w:fill="FFFFFF"/>
          <w:lang w:val="uk-UA" w:eastAsia="ar-SA"/>
        </w:rPr>
        <w:t>и</w:t>
      </w:r>
      <w:r w:rsidRPr="00122345">
        <w:rPr>
          <w:kern w:val="2"/>
          <w:bdr w:val="none" w:sz="0" w:space="0" w:color="auto" w:frame="1"/>
          <w:shd w:val="clear" w:color="auto" w:fill="FFFFFF"/>
          <w:lang w:eastAsia="ar-SA"/>
        </w:rPr>
        <w:t>, левоміцетин, еритроміцин та</w:t>
      </w:r>
      <w:r w:rsidRPr="00122345">
        <w:rPr>
          <w:kern w:val="2"/>
          <w:bdr w:val="none" w:sz="0" w:space="0" w:color="auto" w:frame="1"/>
          <w:shd w:val="clear" w:color="auto" w:fill="FFFFFF"/>
          <w:lang w:val="uk-UA" w:eastAsia="ar-SA"/>
        </w:rPr>
        <w:t xml:space="preserve"> </w:t>
      </w:r>
      <w:r w:rsidRPr="00122345">
        <w:rPr>
          <w:kern w:val="2"/>
          <w:bdr w:val="none" w:sz="0" w:space="0" w:color="auto" w:frame="1"/>
          <w:shd w:val="clear" w:color="auto" w:fill="FFFFFF"/>
          <w:lang w:eastAsia="ar-SA"/>
        </w:rPr>
        <w:t>ін.)</w:t>
      </w:r>
      <w:r w:rsidRPr="00122345">
        <w:rPr>
          <w:kern w:val="2"/>
          <w:bdr w:val="none" w:sz="0" w:space="0" w:color="auto" w:frame="1"/>
          <w:shd w:val="clear" w:color="auto" w:fill="FFFFFF"/>
          <w:lang w:val="uk-UA" w:eastAsia="ar-SA"/>
        </w:rPr>
        <w:t>.</w:t>
      </w:r>
    </w:p>
    <w:p w14:paraId="0672308F"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t>Не вводити внутрішньовенно.</w:t>
      </w:r>
    </w:p>
    <w:p w14:paraId="65BD93E5" w14:textId="77777777" w:rsidR="00122345" w:rsidRPr="00122345" w:rsidRDefault="00122345" w:rsidP="00122345">
      <w:pPr>
        <w:ind w:firstLine="567"/>
        <w:contextualSpacing/>
        <w:jc w:val="both"/>
        <w:rPr>
          <w:b/>
          <w:bdr w:val="none" w:sz="0" w:space="0" w:color="auto" w:frame="1"/>
        </w:rPr>
      </w:pPr>
      <w:r w:rsidRPr="00122345">
        <w:rPr>
          <w:b/>
          <w:bdr w:val="none" w:sz="0" w:space="0" w:color="auto" w:frame="1"/>
        </w:rPr>
        <w:t>5.4.</w:t>
      </w:r>
      <w:r w:rsidRPr="00122345">
        <w:rPr>
          <w:b/>
          <w:bdr w:val="none" w:sz="0" w:space="0" w:color="auto" w:frame="1"/>
          <w:lang w:val="uk-UA"/>
        </w:rPr>
        <w:t xml:space="preserve"> </w:t>
      </w:r>
      <w:r w:rsidRPr="00122345">
        <w:rPr>
          <w:b/>
          <w:bdr w:val="none" w:sz="0" w:space="0" w:color="auto" w:frame="1"/>
        </w:rPr>
        <w:t>Побічна дія</w:t>
      </w:r>
      <w:bookmarkEnd w:id="8"/>
    </w:p>
    <w:p w14:paraId="34DFB001"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t>У місцях введення препарату можлива болючість, а також тимчасова припухлість.</w:t>
      </w:r>
    </w:p>
    <w:p w14:paraId="046FDADA"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rPr>
        <w:t xml:space="preserve">В окремих випадках можливі алергічні явища, які швидко минають після припинення застосування препарату. Інтоксикація через передозування </w:t>
      </w:r>
      <w:r w:rsidRPr="00122345">
        <w:rPr>
          <w:bdr w:val="none" w:sz="0" w:space="0" w:color="auto" w:frame="1"/>
          <w:lang w:val="uk-UA"/>
        </w:rPr>
        <w:t>малоймовірна. За</w:t>
      </w:r>
      <w:r w:rsidRPr="00122345">
        <w:rPr>
          <w:bdr w:val="none" w:sz="0" w:space="0" w:color="auto" w:frame="1"/>
        </w:rPr>
        <w:t xml:space="preserve"> виникненн</w:t>
      </w:r>
      <w:r w:rsidRPr="00122345">
        <w:rPr>
          <w:bdr w:val="none" w:sz="0" w:space="0" w:color="auto" w:frame="1"/>
          <w:lang w:val="uk-UA"/>
        </w:rPr>
        <w:t>я</w:t>
      </w:r>
      <w:r w:rsidRPr="00122345">
        <w:rPr>
          <w:bdr w:val="none" w:sz="0" w:space="0" w:color="auto" w:frame="1"/>
        </w:rPr>
        <w:t xml:space="preserve"> алергічних реакцій </w:t>
      </w:r>
      <w:r w:rsidRPr="00122345">
        <w:rPr>
          <w:bdr w:val="none" w:sz="0" w:space="0" w:color="auto" w:frame="1"/>
          <w:lang w:val="uk-UA"/>
        </w:rPr>
        <w:t>показане симптоматичне лікування.</w:t>
      </w:r>
    </w:p>
    <w:p w14:paraId="522B916B" w14:textId="77777777" w:rsidR="00122345" w:rsidRPr="00122345" w:rsidRDefault="00122345" w:rsidP="00122345">
      <w:pPr>
        <w:ind w:firstLine="567"/>
        <w:contextualSpacing/>
        <w:jc w:val="both"/>
        <w:rPr>
          <w:b/>
          <w:bdr w:val="none" w:sz="0" w:space="0" w:color="auto" w:frame="1"/>
          <w:lang w:val="uk-UA"/>
        </w:rPr>
      </w:pPr>
      <w:bookmarkStart w:id="9" w:name="bookmark9"/>
      <w:r w:rsidRPr="00122345">
        <w:rPr>
          <w:b/>
          <w:bdr w:val="none" w:sz="0" w:space="0" w:color="auto" w:frame="1"/>
          <w:lang w:val="uk-UA"/>
        </w:rPr>
        <w:t>5.5. Особливі застереження при використанні</w:t>
      </w:r>
      <w:bookmarkEnd w:id="9"/>
    </w:p>
    <w:p w14:paraId="6C76A6DC"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rPr>
        <w:t>Застосування препарату повинно базуватися на результатах тестів на чутливість бактерій, виділених від тварини, до амоксициліну. За відсутності даних про чутливість збудника/збудників до амоксициліну, застосування препарату повинно ґрунтуватися на регіональній епізоотичній ситуації щодо антимікробної чутливості. Нераціональне використання препарату може збільшувати поширеність резистентності бактерій до амоксициліну і також знизити його ефективність.</w:t>
      </w:r>
    </w:p>
    <w:p w14:paraId="1EEC42D4"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t>Перед застосуванням препарат необхідно ретельно струсити.</w:t>
      </w:r>
    </w:p>
    <w:p w14:paraId="68CC910F"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lastRenderedPageBreak/>
        <w:t>Не вводити внутрішньовенно.</w:t>
      </w:r>
    </w:p>
    <w:p w14:paraId="0AE5E8AF" w14:textId="77777777" w:rsidR="00122345" w:rsidRPr="00122345" w:rsidRDefault="00122345" w:rsidP="00122345">
      <w:pPr>
        <w:ind w:firstLine="567"/>
        <w:contextualSpacing/>
        <w:jc w:val="both"/>
        <w:rPr>
          <w:b/>
          <w:bdr w:val="none" w:sz="0" w:space="0" w:color="auto" w:frame="1"/>
        </w:rPr>
      </w:pPr>
      <w:bookmarkStart w:id="10" w:name="bookmark10"/>
      <w:r w:rsidRPr="00122345">
        <w:rPr>
          <w:b/>
          <w:bdr w:val="none" w:sz="0" w:space="0" w:color="auto" w:frame="1"/>
        </w:rPr>
        <w:t>5.6.</w:t>
      </w:r>
      <w:r w:rsidRPr="00122345">
        <w:rPr>
          <w:b/>
          <w:bdr w:val="none" w:sz="0" w:space="0" w:color="auto" w:frame="1"/>
          <w:lang w:val="uk-UA"/>
        </w:rPr>
        <w:t xml:space="preserve"> </w:t>
      </w:r>
      <w:r w:rsidRPr="00122345">
        <w:rPr>
          <w:b/>
          <w:bdr w:val="none" w:sz="0" w:space="0" w:color="auto" w:frame="1"/>
        </w:rPr>
        <w:t>Використання під час вагітності, лактації, несучості</w:t>
      </w:r>
      <w:bookmarkEnd w:id="10"/>
    </w:p>
    <w:p w14:paraId="311C3B32"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Не застосовувати препарат тільним коровам в останній місяць тільності; свиноматкам, собакам та кішкам у першу третину вагітності</w:t>
      </w:r>
      <w:r w:rsidRPr="00122345">
        <w:rPr>
          <w:bdr w:val="none" w:sz="0" w:space="0" w:color="auto" w:frame="1"/>
        </w:rPr>
        <w:t>.</w:t>
      </w:r>
    </w:p>
    <w:p w14:paraId="2317BACB"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Не застосовувати лактуючим вівцям і козам, молоко яких вживається в їжу людям.</w:t>
      </w:r>
    </w:p>
    <w:p w14:paraId="6065B81D" w14:textId="77777777" w:rsidR="00122345" w:rsidRPr="00122345" w:rsidRDefault="00122345" w:rsidP="00122345">
      <w:pPr>
        <w:ind w:firstLine="567"/>
        <w:contextualSpacing/>
        <w:jc w:val="both"/>
        <w:rPr>
          <w:b/>
          <w:bdr w:val="none" w:sz="0" w:space="0" w:color="auto" w:frame="1"/>
          <w:lang w:val="uk-UA"/>
        </w:rPr>
      </w:pPr>
      <w:r w:rsidRPr="00122345">
        <w:rPr>
          <w:b/>
          <w:bdr w:val="none" w:sz="0" w:space="0" w:color="auto" w:frame="1"/>
          <w:lang w:val="uk-UA"/>
        </w:rPr>
        <w:t>5.7. Взаємодія з іншими засобами або інші форми взаємодії</w:t>
      </w:r>
    </w:p>
    <w:p w14:paraId="39551D7B"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Бактерицидні антибіотики (у тому числі аміноглікозиди, цефалоспорини, циклосерин, ванкоміцин, ріфампіцин) — синергічна дія; бактеріостатичні препарати (макроліди, хлорамфенікол, лінкозаміди, тетрацикліни, сульфаніламіди) — антагоністична, тому їх не застосовують одночасно.</w:t>
      </w:r>
    </w:p>
    <w:p w14:paraId="1158D592"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 xml:space="preserve">Амоксицилін підвищує ефективність непрямих антикоагулянтів (пригнічує кишкову мікрофлору, знижує синтез вітаміну </w:t>
      </w:r>
      <w:r w:rsidRPr="00122345">
        <w:rPr>
          <w:bdr w:val="none" w:sz="0" w:space="0" w:color="auto" w:frame="1"/>
        </w:rPr>
        <w:t>D</w:t>
      </w:r>
      <w:r w:rsidRPr="00122345">
        <w:rPr>
          <w:bdr w:val="none" w:sz="0" w:space="0" w:color="auto" w:frame="1"/>
          <w:lang w:val="uk-UA"/>
        </w:rPr>
        <w:t xml:space="preserve"> і протромбіновий індекс); зменшує ефективність естрогеновмісних пероральних контрацептивів, лікарських засобів, у процесі метаболізму яких утворюється параамінобензойна кислота, через ризик розвитку кровотеч «прориву».</w:t>
      </w:r>
    </w:p>
    <w:p w14:paraId="18060C5F"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Діуретики, аллопурінол, оксифенбутазон, фенілбутазон, нестероїдні протизапальні препарати; препарати, що блокують канальцеву секрецію — знижують канальцеву секрецію амоксициліну.</w:t>
      </w:r>
    </w:p>
    <w:p w14:paraId="3B15532E" w14:textId="77777777" w:rsidR="00122345" w:rsidRPr="00122345" w:rsidRDefault="00122345" w:rsidP="00122345">
      <w:pPr>
        <w:ind w:firstLine="567"/>
        <w:contextualSpacing/>
        <w:jc w:val="both"/>
        <w:rPr>
          <w:bdr w:val="none" w:sz="0" w:space="0" w:color="auto" w:frame="1"/>
          <w:lang w:val="uk-UA"/>
        </w:rPr>
      </w:pPr>
      <w:r w:rsidRPr="00122345">
        <w:rPr>
          <w:bdr w:val="none" w:sz="0" w:space="0" w:color="auto" w:frame="1"/>
          <w:lang w:val="uk-UA"/>
        </w:rPr>
        <w:t>У випадку одночасного застосування амоксициліну з метронідазолом можливі нудота, блювання, анорексія, діарея, закреп, глосит, стоматит, зрідка гепатити, псевдомембранозний коліт, інтерстиціальний нефрит, порушення гемопоезу.</w:t>
      </w:r>
    </w:p>
    <w:p w14:paraId="3C24EE2B" w14:textId="77777777" w:rsidR="00122345" w:rsidRPr="00122345" w:rsidRDefault="00122345" w:rsidP="00122345">
      <w:pPr>
        <w:ind w:firstLine="567"/>
        <w:contextualSpacing/>
        <w:jc w:val="both"/>
        <w:rPr>
          <w:bdr w:val="none" w:sz="0" w:space="0" w:color="auto" w:frame="1"/>
        </w:rPr>
      </w:pPr>
      <w:r w:rsidRPr="00122345">
        <w:rPr>
          <w:rFonts w:eastAsia="Arial Unicode MS"/>
          <w:bdr w:val="none" w:sz="0" w:space="0" w:color="auto" w:frame="1"/>
        </w:rPr>
        <w:t xml:space="preserve">Взаємодія бетаметазону </w:t>
      </w:r>
      <w:r w:rsidRPr="00122345">
        <w:rPr>
          <w:bdr w:val="none" w:sz="0" w:space="0" w:color="auto" w:frame="1"/>
          <w:shd w:val="clear" w:color="auto" w:fill="FFFFFF"/>
        </w:rPr>
        <w:t>з іншими</w:t>
      </w:r>
      <w:r w:rsidRPr="00122345">
        <w:rPr>
          <w:rFonts w:eastAsia="Arial Unicode MS"/>
          <w:bdr w:val="none" w:sz="0" w:space="0" w:color="auto" w:frame="1"/>
        </w:rPr>
        <w:t xml:space="preserve"> лікарськими </w:t>
      </w:r>
      <w:r w:rsidRPr="00122345">
        <w:rPr>
          <w:bdr w:val="none" w:sz="0" w:space="0" w:color="auto" w:frame="1"/>
          <w:shd w:val="clear" w:color="auto" w:fill="FFFFFF"/>
        </w:rPr>
        <w:t>засобами не описана.</w:t>
      </w:r>
    </w:p>
    <w:p w14:paraId="6FD1B505" w14:textId="77777777" w:rsidR="00122345" w:rsidRPr="00122345" w:rsidRDefault="00122345" w:rsidP="00122345">
      <w:pPr>
        <w:ind w:firstLine="567"/>
        <w:contextualSpacing/>
        <w:jc w:val="both"/>
        <w:rPr>
          <w:b/>
          <w:bdr w:val="none" w:sz="0" w:space="0" w:color="auto" w:frame="1"/>
        </w:rPr>
      </w:pPr>
      <w:r w:rsidRPr="00122345">
        <w:rPr>
          <w:b/>
          <w:bdr w:val="none" w:sz="0" w:space="0" w:color="auto" w:frame="1"/>
        </w:rPr>
        <w:t>5.8.</w:t>
      </w:r>
      <w:r w:rsidRPr="00122345">
        <w:rPr>
          <w:b/>
          <w:bdr w:val="none" w:sz="0" w:space="0" w:color="auto" w:frame="1"/>
          <w:lang w:val="uk-UA"/>
        </w:rPr>
        <w:t xml:space="preserve"> </w:t>
      </w:r>
      <w:r w:rsidRPr="00122345">
        <w:rPr>
          <w:b/>
          <w:bdr w:val="none" w:sz="0" w:space="0" w:color="auto" w:frame="1"/>
        </w:rPr>
        <w:t>Дози та способи введення тваринам різного віку</w:t>
      </w:r>
    </w:p>
    <w:p w14:paraId="5B1A7301" w14:textId="77777777" w:rsidR="00122345" w:rsidRPr="00122345" w:rsidRDefault="00122345" w:rsidP="00122345">
      <w:pPr>
        <w:ind w:firstLine="567"/>
        <w:contextualSpacing/>
        <w:jc w:val="both"/>
        <w:rPr>
          <w:lang w:val="uk-UA" w:eastAsia="en-US"/>
        </w:rPr>
      </w:pPr>
      <w:r w:rsidRPr="00122345">
        <w:rPr>
          <w:lang w:eastAsia="en-US"/>
        </w:rPr>
        <w:t>Внутрішньом´язово або підшкірно одноразово у доз</w:t>
      </w:r>
      <w:r w:rsidRPr="00122345">
        <w:rPr>
          <w:lang w:val="uk-UA" w:eastAsia="en-US"/>
        </w:rPr>
        <w:t>ах:</w:t>
      </w:r>
    </w:p>
    <w:p w14:paraId="20BAE6AD" w14:textId="77777777" w:rsidR="00122345" w:rsidRPr="00122345" w:rsidRDefault="00122345" w:rsidP="00122345">
      <w:pPr>
        <w:ind w:firstLine="567"/>
        <w:contextualSpacing/>
        <w:jc w:val="both"/>
        <w:rPr>
          <w:lang w:val="uk-UA" w:eastAsia="en-US"/>
        </w:rPr>
      </w:pPr>
      <w:r w:rsidRPr="00122345">
        <w:rPr>
          <w:kern w:val="2"/>
          <w:lang w:val="uk-UA" w:eastAsia="ar-SA"/>
        </w:rPr>
        <w:t>велика рогата худоба, свині -</w:t>
      </w:r>
      <w:r w:rsidRPr="00122345">
        <w:rPr>
          <w:lang w:eastAsia="en-US"/>
        </w:rPr>
        <w:t xml:space="preserve"> 1 мл препарату на 10 кг маси тіла</w:t>
      </w:r>
      <w:r w:rsidRPr="00122345">
        <w:rPr>
          <w:lang w:val="uk-UA" w:eastAsia="en-US"/>
        </w:rPr>
        <w:t xml:space="preserve"> тварини</w:t>
      </w:r>
      <w:r w:rsidRPr="00122345">
        <w:rPr>
          <w:shd w:val="clear" w:color="auto" w:fill="FFFFFF"/>
        </w:rPr>
        <w:t xml:space="preserve">  (</w:t>
      </w:r>
      <w:r w:rsidRPr="00122345">
        <w:rPr>
          <w:shd w:val="clear" w:color="auto" w:fill="FFFFFF"/>
          <w:lang w:val="uk-UA"/>
        </w:rPr>
        <w:t xml:space="preserve">що еквівалентно </w:t>
      </w:r>
      <w:r w:rsidRPr="00122345">
        <w:rPr>
          <w:shd w:val="clear" w:color="auto" w:fill="FFFFFF"/>
        </w:rPr>
        <w:t>15 мг амоксициліну на 1 кг маси тіла</w:t>
      </w:r>
      <w:r w:rsidRPr="00122345">
        <w:rPr>
          <w:shd w:val="clear" w:color="auto" w:fill="FFFFFF"/>
          <w:lang w:val="uk-UA"/>
        </w:rPr>
        <w:t xml:space="preserve"> </w:t>
      </w:r>
      <w:r w:rsidRPr="00122345">
        <w:rPr>
          <w:shd w:val="clear" w:color="auto" w:fill="FFFFFF"/>
        </w:rPr>
        <w:t>та 0,05 мг бетаметазону на 1 кг маси т</w:t>
      </w:r>
      <w:r w:rsidRPr="00122345">
        <w:rPr>
          <w:shd w:val="clear" w:color="auto" w:fill="FFFFFF"/>
          <w:lang w:val="uk-UA"/>
        </w:rPr>
        <w:t>іла</w:t>
      </w:r>
      <w:r w:rsidRPr="00122345">
        <w:rPr>
          <w:shd w:val="clear" w:color="auto" w:fill="FFFFFF"/>
        </w:rPr>
        <w:t>)</w:t>
      </w:r>
      <w:r w:rsidRPr="00122345">
        <w:rPr>
          <w:lang w:val="uk-UA" w:eastAsia="en-US"/>
        </w:rPr>
        <w:t xml:space="preserve">; </w:t>
      </w:r>
    </w:p>
    <w:p w14:paraId="3D30313F" w14:textId="77777777" w:rsidR="00122345" w:rsidRPr="00122345" w:rsidRDefault="00122345" w:rsidP="00122345">
      <w:pPr>
        <w:ind w:firstLine="567"/>
        <w:contextualSpacing/>
        <w:jc w:val="both"/>
        <w:rPr>
          <w:lang w:val="uk-UA" w:eastAsia="en-US"/>
        </w:rPr>
      </w:pPr>
      <w:r w:rsidRPr="00122345">
        <w:rPr>
          <w:kern w:val="2"/>
          <w:lang w:val="uk-UA" w:eastAsia="ar-SA"/>
        </w:rPr>
        <w:t>собаки, коти</w:t>
      </w:r>
      <w:r w:rsidRPr="00122345">
        <w:rPr>
          <w:b/>
          <w:i/>
          <w:kern w:val="2"/>
          <w:lang w:val="uk-UA" w:eastAsia="ar-SA"/>
        </w:rPr>
        <w:t xml:space="preserve"> </w:t>
      </w:r>
      <w:r w:rsidRPr="00122345">
        <w:rPr>
          <w:kern w:val="2"/>
          <w:lang w:val="uk-UA" w:eastAsia="ar-SA"/>
        </w:rPr>
        <w:t>- 0,</w:t>
      </w:r>
      <w:r w:rsidRPr="00122345">
        <w:rPr>
          <w:lang w:eastAsia="en-US"/>
        </w:rPr>
        <w:t>1 мл препарату на 1 кг маси тіла</w:t>
      </w:r>
      <w:r w:rsidRPr="00122345">
        <w:rPr>
          <w:lang w:val="uk-UA" w:eastAsia="en-US"/>
        </w:rPr>
        <w:t xml:space="preserve"> тварини </w:t>
      </w:r>
      <w:r w:rsidRPr="00122345">
        <w:rPr>
          <w:shd w:val="clear" w:color="auto" w:fill="FFFFFF"/>
        </w:rPr>
        <w:t> (</w:t>
      </w:r>
      <w:r w:rsidRPr="00122345">
        <w:rPr>
          <w:shd w:val="clear" w:color="auto" w:fill="FFFFFF"/>
          <w:lang w:val="uk-UA"/>
        </w:rPr>
        <w:t xml:space="preserve">що еквівалентно </w:t>
      </w:r>
      <w:r w:rsidRPr="00122345">
        <w:rPr>
          <w:shd w:val="clear" w:color="auto" w:fill="FFFFFF"/>
        </w:rPr>
        <w:t>15 мг амоксициліну на 1 кг маси тіла та 0,05 мг бетаметазону на 1 кг маси т</w:t>
      </w:r>
      <w:r w:rsidRPr="00122345">
        <w:rPr>
          <w:shd w:val="clear" w:color="auto" w:fill="FFFFFF"/>
          <w:lang w:val="uk-UA"/>
        </w:rPr>
        <w:t>іла</w:t>
      </w:r>
      <w:r w:rsidRPr="00122345">
        <w:rPr>
          <w:shd w:val="clear" w:color="auto" w:fill="FFFFFF"/>
        </w:rPr>
        <w:t>)</w:t>
      </w:r>
      <w:r w:rsidRPr="00122345">
        <w:rPr>
          <w:lang w:val="uk-UA" w:eastAsia="en-US"/>
        </w:rPr>
        <w:t xml:space="preserve">. </w:t>
      </w:r>
    </w:p>
    <w:p w14:paraId="7CDE12C7" w14:textId="77777777" w:rsidR="00122345" w:rsidRPr="00122345" w:rsidRDefault="00122345" w:rsidP="00122345">
      <w:pPr>
        <w:ind w:firstLine="567"/>
        <w:contextualSpacing/>
        <w:jc w:val="both"/>
      </w:pPr>
      <w:r w:rsidRPr="00122345">
        <w:rPr>
          <w:lang w:val="uk-UA" w:eastAsia="en-US"/>
        </w:rPr>
        <w:t xml:space="preserve">За необхідності </w:t>
      </w:r>
      <w:r w:rsidRPr="00122345">
        <w:rPr>
          <w:lang w:eastAsia="en-US"/>
        </w:rPr>
        <w:t xml:space="preserve">препарат вводять </w:t>
      </w:r>
      <w:r w:rsidRPr="00122345">
        <w:rPr>
          <w:lang w:val="uk-UA" w:eastAsia="en-US"/>
        </w:rPr>
        <w:t xml:space="preserve">повторно </w:t>
      </w:r>
      <w:r w:rsidRPr="00122345">
        <w:rPr>
          <w:lang w:eastAsia="en-US"/>
        </w:rPr>
        <w:t>через 48 годин.</w:t>
      </w:r>
    </w:p>
    <w:p w14:paraId="6E8354C6" w14:textId="77777777" w:rsidR="00122345" w:rsidRPr="00122345" w:rsidRDefault="00122345" w:rsidP="00122345">
      <w:pPr>
        <w:ind w:firstLine="567"/>
        <w:contextualSpacing/>
        <w:jc w:val="both"/>
        <w:rPr>
          <w:b/>
          <w:bdr w:val="none" w:sz="0" w:space="0" w:color="auto" w:frame="1"/>
        </w:rPr>
      </w:pPr>
      <w:r w:rsidRPr="00122345">
        <w:rPr>
          <w:b/>
          <w:bdr w:val="none" w:sz="0" w:space="0" w:color="auto" w:frame="1"/>
        </w:rPr>
        <w:t>5.9.</w:t>
      </w:r>
      <w:r w:rsidRPr="00122345">
        <w:rPr>
          <w:b/>
          <w:bdr w:val="none" w:sz="0" w:space="0" w:color="auto" w:frame="1"/>
          <w:lang w:val="uk-UA"/>
        </w:rPr>
        <w:t xml:space="preserve"> </w:t>
      </w:r>
      <w:r w:rsidRPr="00122345">
        <w:rPr>
          <w:b/>
          <w:bdr w:val="none" w:sz="0" w:space="0" w:color="auto" w:frame="1"/>
        </w:rPr>
        <w:t>Передозування (симптоми, невідкладні заходи, антидоти)</w:t>
      </w:r>
    </w:p>
    <w:p w14:paraId="3F583321" w14:textId="77777777" w:rsidR="00122345" w:rsidRPr="00122345" w:rsidRDefault="00122345" w:rsidP="00122345">
      <w:pPr>
        <w:ind w:firstLine="567"/>
        <w:contextualSpacing/>
        <w:jc w:val="both"/>
        <w:rPr>
          <w:bdr w:val="none" w:sz="0" w:space="0" w:color="auto" w:frame="1"/>
        </w:rPr>
      </w:pPr>
      <w:r w:rsidRPr="00122345">
        <w:rPr>
          <w:bdr w:val="none" w:sz="0" w:space="0" w:color="auto" w:frame="1"/>
          <w:lang w:val="uk-UA"/>
        </w:rPr>
        <w:t>Препарат</w:t>
      </w:r>
      <w:r w:rsidRPr="00122345">
        <w:rPr>
          <w:bdr w:val="none" w:sz="0" w:space="0" w:color="auto" w:frame="1"/>
        </w:rPr>
        <w:t xml:space="preserve"> є безпечним з огляду на передозування.</w:t>
      </w:r>
    </w:p>
    <w:p w14:paraId="35AE54ED" w14:textId="77777777" w:rsidR="00122345" w:rsidRPr="00122345" w:rsidRDefault="00122345" w:rsidP="00122345">
      <w:pPr>
        <w:ind w:firstLine="567"/>
        <w:contextualSpacing/>
        <w:jc w:val="both"/>
        <w:rPr>
          <w:bdr w:val="none" w:sz="0" w:space="0" w:color="auto" w:frame="1"/>
        </w:rPr>
      </w:pPr>
      <w:r w:rsidRPr="00122345">
        <w:rPr>
          <w:bdr w:val="none" w:sz="0" w:space="0" w:color="auto" w:frame="1"/>
          <w:lang w:val="uk-UA"/>
        </w:rPr>
        <w:t>За проявів симптомів</w:t>
      </w:r>
      <w:r w:rsidRPr="00122345">
        <w:rPr>
          <w:bdr w:val="none" w:sz="0" w:space="0" w:color="auto" w:frame="1"/>
        </w:rPr>
        <w:t xml:space="preserve"> алергії припинити лікування і застосувати кортикостероїди та адреналін. В інших випадках застосувати симптоматичне лікування.</w:t>
      </w:r>
    </w:p>
    <w:p w14:paraId="7BFCDD10" w14:textId="77777777" w:rsidR="00122345" w:rsidRPr="00122345" w:rsidRDefault="00122345" w:rsidP="00122345">
      <w:pPr>
        <w:ind w:firstLine="567"/>
        <w:contextualSpacing/>
        <w:jc w:val="both"/>
        <w:rPr>
          <w:b/>
          <w:bdr w:val="none" w:sz="0" w:space="0" w:color="auto" w:frame="1"/>
        </w:rPr>
      </w:pPr>
      <w:r w:rsidRPr="00122345">
        <w:rPr>
          <w:b/>
          <w:bdr w:val="none" w:sz="0" w:space="0" w:color="auto" w:frame="1"/>
        </w:rPr>
        <w:t>5.10.</w:t>
      </w:r>
      <w:r w:rsidRPr="00122345">
        <w:rPr>
          <w:b/>
          <w:bdr w:val="none" w:sz="0" w:space="0" w:color="auto" w:frame="1"/>
          <w:lang w:val="uk-UA"/>
        </w:rPr>
        <w:t xml:space="preserve"> </w:t>
      </w:r>
      <w:r w:rsidRPr="00122345">
        <w:rPr>
          <w:b/>
          <w:bdr w:val="none" w:sz="0" w:space="0" w:color="auto" w:frame="1"/>
        </w:rPr>
        <w:t>Спеціальні застереження</w:t>
      </w:r>
    </w:p>
    <w:p w14:paraId="2EB9AE44" w14:textId="77777777" w:rsidR="00122345" w:rsidRPr="00122345" w:rsidRDefault="00122345" w:rsidP="00122345">
      <w:pPr>
        <w:ind w:firstLine="567"/>
        <w:contextualSpacing/>
        <w:jc w:val="both"/>
        <w:rPr>
          <w:bdr w:val="none" w:sz="0" w:space="0" w:color="auto" w:frame="1"/>
        </w:rPr>
      </w:pPr>
      <w:r w:rsidRPr="00122345">
        <w:rPr>
          <w:bdr w:val="none" w:sz="0" w:space="0" w:color="auto" w:frame="1"/>
        </w:rPr>
        <w:t>Перед застосуванням ретельно струсити.</w:t>
      </w:r>
    </w:p>
    <w:p w14:paraId="245F3F7F" w14:textId="77777777" w:rsidR="00122345" w:rsidRPr="00122345" w:rsidRDefault="00122345" w:rsidP="00122345">
      <w:pPr>
        <w:suppressAutoHyphens/>
        <w:ind w:firstLine="567"/>
        <w:contextualSpacing/>
        <w:jc w:val="both"/>
        <w:rPr>
          <w:kern w:val="2"/>
          <w:bdr w:val="none" w:sz="0" w:space="0" w:color="auto" w:frame="1"/>
          <w:lang w:val="uk-UA" w:eastAsia="ar-SA"/>
        </w:rPr>
      </w:pPr>
      <w:r w:rsidRPr="00122345">
        <w:rPr>
          <w:kern w:val="2"/>
          <w:bdr w:val="none" w:sz="0" w:space="0" w:color="auto" w:frame="1"/>
          <w:lang w:val="uk-UA" w:eastAsia="ar-SA"/>
        </w:rPr>
        <w:t>В одне місце ін'єкції не можна вводити більше 20 мл великій рогатій худобі, 5 мл - свиням та собакам; 1,0 мл - котам.</w:t>
      </w:r>
    </w:p>
    <w:p w14:paraId="7513A7FA" w14:textId="77777777" w:rsidR="00122345" w:rsidRPr="00122345" w:rsidRDefault="00122345" w:rsidP="00122345">
      <w:pPr>
        <w:ind w:firstLine="425"/>
        <w:jc w:val="both"/>
        <w:rPr>
          <w:b/>
          <w:bdr w:val="none" w:sz="0" w:space="0" w:color="auto" w:frame="1"/>
          <w:lang w:val="uk-UA"/>
        </w:rPr>
      </w:pPr>
      <w:r w:rsidRPr="00122345">
        <w:rPr>
          <w:b/>
          <w:bdr w:val="none" w:sz="0" w:space="0" w:color="auto" w:frame="1"/>
          <w:lang w:val="uk-UA"/>
        </w:rPr>
        <w:t>5.11. Період виведення (каренції)</w:t>
      </w:r>
    </w:p>
    <w:p w14:paraId="0E200E8B" w14:textId="77777777" w:rsidR="00122345" w:rsidRPr="00122345" w:rsidRDefault="00122345" w:rsidP="00122345">
      <w:pPr>
        <w:ind w:firstLine="425"/>
        <w:jc w:val="both"/>
        <w:rPr>
          <w:kern w:val="2"/>
          <w:bdr w:val="none" w:sz="0" w:space="0" w:color="auto" w:frame="1"/>
          <w:lang w:val="uk-UA" w:eastAsia="uk-UA"/>
        </w:rPr>
      </w:pPr>
      <w:r w:rsidRPr="00122345">
        <w:rPr>
          <w:lang w:val="uk-UA"/>
        </w:rPr>
        <w:t xml:space="preserve">Забій тварин на м`ясо дозволяють через 18 діб (велика рогата худоба) і 20 діб (свині) після останнього застосування препарату. </w:t>
      </w:r>
      <w:r w:rsidRPr="00122345">
        <w:rPr>
          <w:kern w:val="2"/>
          <w:bdr w:val="none" w:sz="0" w:space="0" w:color="auto" w:frame="1"/>
          <w:lang w:val="uk-UA" w:eastAsia="ar-SA"/>
        </w:rPr>
        <w:t>Споживання</w:t>
      </w:r>
      <w:r w:rsidRPr="00122345">
        <w:rPr>
          <w:kern w:val="2"/>
          <w:bdr w:val="none" w:sz="0" w:space="0" w:color="auto" w:frame="1"/>
          <w:lang w:val="uk-UA" w:eastAsia="uk-UA"/>
        </w:rPr>
        <w:t xml:space="preserve"> молока дозволяють через 3 доби після останнього введення препарату. Отримане, до зазначеного терміну, м'ясо та молоко утилізують або згодовують непродуктивним тваринам, залежно від висновку лікаря ветеринарної медицини.</w:t>
      </w:r>
    </w:p>
    <w:p w14:paraId="7EDAB38C" w14:textId="77777777" w:rsidR="00122345" w:rsidRPr="00122345" w:rsidRDefault="00122345" w:rsidP="00122345">
      <w:pPr>
        <w:ind w:firstLine="425"/>
        <w:jc w:val="both"/>
        <w:rPr>
          <w:b/>
          <w:bdr w:val="none" w:sz="0" w:space="0" w:color="auto" w:frame="1"/>
        </w:rPr>
      </w:pPr>
      <w:r w:rsidRPr="00122345">
        <w:rPr>
          <w:b/>
          <w:bdr w:val="none" w:sz="0" w:space="0" w:color="auto" w:frame="1"/>
        </w:rPr>
        <w:t>5.12. Спеціальні застереження для осіб і обслуговуючого персоналу</w:t>
      </w:r>
    </w:p>
    <w:p w14:paraId="272705E3" w14:textId="77777777" w:rsidR="00122345" w:rsidRPr="00122345" w:rsidRDefault="00122345" w:rsidP="00122345">
      <w:pPr>
        <w:ind w:firstLine="425"/>
        <w:jc w:val="both"/>
        <w:rPr>
          <w:bdr w:val="none" w:sz="0" w:space="0" w:color="auto" w:frame="1"/>
        </w:rPr>
      </w:pPr>
      <w:r w:rsidRPr="00122345">
        <w:rPr>
          <w:bdr w:val="none" w:sz="0" w:space="0" w:color="auto" w:frame="1"/>
        </w:rPr>
        <w:t>Персонал, який працює з препаратом, повинен дотримуватись основних правил гігієни та безпеки, прийнятих при роботі з ветеринарними препаратами.</w:t>
      </w:r>
    </w:p>
    <w:p w14:paraId="1F198B0A" w14:textId="77777777" w:rsidR="00122345" w:rsidRPr="00122345" w:rsidRDefault="00122345" w:rsidP="00122345">
      <w:pPr>
        <w:ind w:firstLine="425"/>
        <w:jc w:val="both"/>
        <w:rPr>
          <w:b/>
          <w:bdr w:val="none" w:sz="0" w:space="0" w:color="auto" w:frame="1"/>
        </w:rPr>
      </w:pPr>
      <w:r w:rsidRPr="00122345">
        <w:rPr>
          <w:b/>
          <w:bdr w:val="none" w:sz="0" w:space="0" w:color="auto" w:frame="1"/>
        </w:rPr>
        <w:t>6.</w:t>
      </w:r>
      <w:r w:rsidRPr="00122345">
        <w:rPr>
          <w:b/>
          <w:bdr w:val="none" w:sz="0" w:space="0" w:color="auto" w:frame="1"/>
          <w:lang w:val="uk-UA"/>
        </w:rPr>
        <w:t xml:space="preserve"> </w:t>
      </w:r>
      <w:r w:rsidRPr="00122345">
        <w:rPr>
          <w:b/>
          <w:bdr w:val="none" w:sz="0" w:space="0" w:color="auto" w:frame="1"/>
        </w:rPr>
        <w:t>Фармацевтичні особливості</w:t>
      </w:r>
    </w:p>
    <w:p w14:paraId="31F7D39A" w14:textId="77777777" w:rsidR="00122345" w:rsidRPr="00122345" w:rsidRDefault="00122345" w:rsidP="00122345">
      <w:pPr>
        <w:ind w:firstLine="425"/>
        <w:jc w:val="both"/>
        <w:rPr>
          <w:b/>
          <w:bdr w:val="none" w:sz="0" w:space="0" w:color="auto" w:frame="1"/>
        </w:rPr>
      </w:pPr>
      <w:r w:rsidRPr="00122345">
        <w:rPr>
          <w:b/>
          <w:bdr w:val="none" w:sz="0" w:space="0" w:color="auto" w:frame="1"/>
        </w:rPr>
        <w:t>6.1.</w:t>
      </w:r>
      <w:r w:rsidRPr="00122345">
        <w:rPr>
          <w:b/>
          <w:bdr w:val="none" w:sz="0" w:space="0" w:color="auto" w:frame="1"/>
          <w:lang w:val="uk-UA"/>
        </w:rPr>
        <w:t xml:space="preserve"> </w:t>
      </w:r>
      <w:r w:rsidRPr="00122345">
        <w:rPr>
          <w:b/>
          <w:bdr w:val="none" w:sz="0" w:space="0" w:color="auto" w:frame="1"/>
        </w:rPr>
        <w:t>Форми несумісності</w:t>
      </w:r>
    </w:p>
    <w:p w14:paraId="0B7D940A" w14:textId="77777777" w:rsidR="00122345" w:rsidRPr="00122345" w:rsidRDefault="00122345" w:rsidP="00122345">
      <w:pPr>
        <w:ind w:firstLine="425"/>
        <w:jc w:val="both"/>
        <w:rPr>
          <w:bdr w:val="none" w:sz="0" w:space="0" w:color="auto" w:frame="1"/>
        </w:rPr>
      </w:pPr>
      <w:r w:rsidRPr="00122345">
        <w:rPr>
          <w:bdr w:val="none" w:sz="0" w:space="0" w:color="auto" w:frame="1"/>
        </w:rPr>
        <w:t>Бактерицидні антибіотики (у тому числі аміноглікозиди, цефалоспорини, циклосер</w:t>
      </w:r>
      <w:r w:rsidRPr="00122345">
        <w:rPr>
          <w:bdr w:val="none" w:sz="0" w:space="0" w:color="auto" w:frame="1"/>
          <w:lang w:val="uk-UA"/>
        </w:rPr>
        <w:t>и</w:t>
      </w:r>
      <w:r w:rsidRPr="00122345">
        <w:rPr>
          <w:bdr w:val="none" w:sz="0" w:space="0" w:color="auto" w:frame="1"/>
        </w:rPr>
        <w:t>н, ванкоміцин, ріфампіцин) — синергічна дія; бактеріостатичні препарати (макроліди, хлорамфенікол, лінкозаміди, тетрациклін</w:t>
      </w:r>
      <w:r w:rsidRPr="00122345">
        <w:rPr>
          <w:bdr w:val="none" w:sz="0" w:space="0" w:color="auto" w:frame="1"/>
          <w:lang w:val="uk-UA"/>
        </w:rPr>
        <w:t>и</w:t>
      </w:r>
      <w:r w:rsidRPr="00122345">
        <w:rPr>
          <w:bdr w:val="none" w:sz="0" w:space="0" w:color="auto" w:frame="1"/>
        </w:rPr>
        <w:t>, сульфаніламіди) — антагоністична, тому їх не застосовують одночасно.</w:t>
      </w:r>
    </w:p>
    <w:p w14:paraId="6BA4F5FB" w14:textId="77777777" w:rsidR="00122345" w:rsidRPr="00122345" w:rsidRDefault="00122345" w:rsidP="00122345">
      <w:pPr>
        <w:ind w:firstLine="425"/>
        <w:jc w:val="both"/>
        <w:rPr>
          <w:bdr w:val="none" w:sz="0" w:space="0" w:color="auto" w:frame="1"/>
        </w:rPr>
      </w:pPr>
      <w:r w:rsidRPr="00122345">
        <w:rPr>
          <w:bdr w:val="none" w:sz="0" w:space="0" w:color="auto" w:frame="1"/>
        </w:rPr>
        <w:t xml:space="preserve">Амоксицилін підвищує ефективність непрямих антикоагулянтів (пригнічує кишкову мікрофлору, знижує синтез вітаміну D і протромбіновий індекс); зменшує ефективність </w:t>
      </w:r>
      <w:r w:rsidRPr="00122345">
        <w:rPr>
          <w:bdr w:val="none" w:sz="0" w:space="0" w:color="auto" w:frame="1"/>
        </w:rPr>
        <w:lastRenderedPageBreak/>
        <w:t xml:space="preserve">естрогеновмісних пероральних контрацептивів, лікарських засобів, </w:t>
      </w:r>
      <w:r w:rsidRPr="00122345">
        <w:rPr>
          <w:bdr w:val="none" w:sz="0" w:space="0" w:color="auto" w:frame="1"/>
          <w:lang w:val="uk-UA"/>
        </w:rPr>
        <w:t>у</w:t>
      </w:r>
      <w:r w:rsidRPr="00122345">
        <w:rPr>
          <w:bdr w:val="none" w:sz="0" w:space="0" w:color="auto" w:frame="1"/>
        </w:rPr>
        <w:t xml:space="preserve"> процесі метаболізму яких утворюється параамінобензойна кислота</w:t>
      </w:r>
      <w:r w:rsidRPr="00122345">
        <w:rPr>
          <w:bdr w:val="none" w:sz="0" w:space="0" w:color="auto" w:frame="1"/>
          <w:lang w:val="uk-UA"/>
        </w:rPr>
        <w:t>,</w:t>
      </w:r>
      <w:r w:rsidRPr="00122345">
        <w:rPr>
          <w:bdr w:val="none" w:sz="0" w:space="0" w:color="auto" w:frame="1"/>
        </w:rPr>
        <w:t xml:space="preserve"> </w:t>
      </w:r>
      <w:r w:rsidRPr="00122345">
        <w:rPr>
          <w:bdr w:val="none" w:sz="0" w:space="0" w:color="auto" w:frame="1"/>
          <w:lang w:val="uk-UA"/>
        </w:rPr>
        <w:t>через</w:t>
      </w:r>
      <w:r w:rsidRPr="00122345">
        <w:rPr>
          <w:bdr w:val="none" w:sz="0" w:space="0" w:color="auto" w:frame="1"/>
        </w:rPr>
        <w:t xml:space="preserve"> ризик розвитку кровотеч «прориву».</w:t>
      </w:r>
    </w:p>
    <w:p w14:paraId="327DA0C9" w14:textId="77777777" w:rsidR="00122345" w:rsidRPr="00122345" w:rsidRDefault="00122345" w:rsidP="00122345">
      <w:pPr>
        <w:ind w:firstLine="425"/>
        <w:jc w:val="both"/>
        <w:rPr>
          <w:bdr w:val="none" w:sz="0" w:space="0" w:color="auto" w:frame="1"/>
        </w:rPr>
      </w:pPr>
      <w:r w:rsidRPr="00122345">
        <w:rPr>
          <w:bdr w:val="none" w:sz="0" w:space="0" w:color="auto" w:frame="1"/>
        </w:rPr>
        <w:t>Діуретики, аллопурінол, оксифенбутазон, фенілбутазон, нестероїдні протизапальні препарати; препарати, що блокують канальцеву секрецію — знижують канальцеву секрецію.</w:t>
      </w:r>
    </w:p>
    <w:p w14:paraId="188E0993" w14:textId="77777777" w:rsidR="00122345" w:rsidRPr="00122345" w:rsidRDefault="00122345" w:rsidP="00122345">
      <w:pPr>
        <w:ind w:firstLine="425"/>
        <w:jc w:val="both"/>
        <w:rPr>
          <w:bdr w:val="none" w:sz="0" w:space="0" w:color="auto" w:frame="1"/>
          <w:lang w:val="uk-UA"/>
        </w:rPr>
      </w:pPr>
      <w:r w:rsidRPr="00122345">
        <w:rPr>
          <w:bdr w:val="none" w:sz="0" w:space="0" w:color="auto" w:frame="1"/>
        </w:rPr>
        <w:t>У випадку одночасного застосування амоксициліну з метронідазолом можливі нудота, блювання, анорексія, діарея, закреп, глосит, стоматит, зрідка гепатити, псевдомембранозний коліт, інтерстиціальний нефрит, порушення гемопоезу.</w:t>
      </w:r>
    </w:p>
    <w:p w14:paraId="1C121BFB" w14:textId="77777777" w:rsidR="00122345" w:rsidRPr="00122345" w:rsidRDefault="00122345" w:rsidP="00122345">
      <w:pPr>
        <w:ind w:firstLine="425"/>
        <w:jc w:val="both"/>
        <w:rPr>
          <w:bdr w:val="none" w:sz="0" w:space="0" w:color="auto" w:frame="1"/>
        </w:rPr>
      </w:pPr>
      <w:r w:rsidRPr="00122345">
        <w:rPr>
          <w:rFonts w:eastAsia="Arial Unicode MS"/>
          <w:bdr w:val="none" w:sz="0" w:space="0" w:color="auto" w:frame="1"/>
        </w:rPr>
        <w:t xml:space="preserve">Взаємодія бетаметазону </w:t>
      </w:r>
      <w:r w:rsidRPr="00122345">
        <w:rPr>
          <w:bdr w:val="none" w:sz="0" w:space="0" w:color="auto" w:frame="1"/>
          <w:shd w:val="clear" w:color="auto" w:fill="FFFFFF"/>
        </w:rPr>
        <w:t>з іншими</w:t>
      </w:r>
      <w:r w:rsidRPr="00122345">
        <w:rPr>
          <w:rFonts w:eastAsia="Arial Unicode MS"/>
          <w:bdr w:val="none" w:sz="0" w:space="0" w:color="auto" w:frame="1"/>
        </w:rPr>
        <w:t xml:space="preserve"> лікарськими </w:t>
      </w:r>
      <w:r w:rsidRPr="00122345">
        <w:rPr>
          <w:bdr w:val="none" w:sz="0" w:space="0" w:color="auto" w:frame="1"/>
          <w:shd w:val="clear" w:color="auto" w:fill="FFFFFF"/>
        </w:rPr>
        <w:t>засобами не описана.</w:t>
      </w:r>
    </w:p>
    <w:p w14:paraId="7DC81BE9" w14:textId="77777777" w:rsidR="00122345" w:rsidRPr="00122345" w:rsidRDefault="00122345" w:rsidP="00122345">
      <w:pPr>
        <w:ind w:firstLine="425"/>
        <w:jc w:val="both"/>
        <w:rPr>
          <w:b/>
          <w:bdr w:val="none" w:sz="0" w:space="0" w:color="auto" w:frame="1"/>
          <w:lang w:val="uk-UA"/>
        </w:rPr>
      </w:pPr>
      <w:r w:rsidRPr="00122345">
        <w:rPr>
          <w:b/>
          <w:bdr w:val="none" w:sz="0" w:space="0" w:color="auto" w:frame="1"/>
        </w:rPr>
        <w:t>6.2.</w:t>
      </w:r>
      <w:r w:rsidRPr="00122345">
        <w:rPr>
          <w:b/>
          <w:bdr w:val="none" w:sz="0" w:space="0" w:color="auto" w:frame="1"/>
          <w:lang w:val="uk-UA"/>
        </w:rPr>
        <w:t xml:space="preserve"> </w:t>
      </w:r>
      <w:r w:rsidRPr="00122345">
        <w:rPr>
          <w:b/>
          <w:bdr w:val="none" w:sz="0" w:space="0" w:color="auto" w:frame="1"/>
        </w:rPr>
        <w:t>Термін придатності</w:t>
      </w:r>
    </w:p>
    <w:p w14:paraId="00E3AE89" w14:textId="77777777" w:rsidR="00122345" w:rsidRPr="00122345" w:rsidRDefault="00122345" w:rsidP="00122345">
      <w:pPr>
        <w:ind w:firstLine="425"/>
        <w:jc w:val="both"/>
        <w:rPr>
          <w:bdr w:val="none" w:sz="0" w:space="0" w:color="auto" w:frame="1"/>
        </w:rPr>
      </w:pPr>
      <w:r w:rsidRPr="00122345">
        <w:rPr>
          <w:bdr w:val="none" w:sz="0" w:space="0" w:color="auto" w:frame="1"/>
        </w:rPr>
        <w:t>2 роки.</w:t>
      </w:r>
    </w:p>
    <w:p w14:paraId="39AB7F08" w14:textId="77777777" w:rsidR="00122345" w:rsidRPr="00122345" w:rsidRDefault="00122345" w:rsidP="00122345">
      <w:pPr>
        <w:ind w:firstLine="425"/>
        <w:jc w:val="both"/>
        <w:rPr>
          <w:bdr w:val="none" w:sz="0" w:space="0" w:color="auto" w:frame="1"/>
          <w:lang w:val="uk-UA"/>
        </w:rPr>
      </w:pPr>
      <w:r w:rsidRPr="00122345">
        <w:rPr>
          <w:bdr w:val="none" w:sz="0" w:space="0" w:color="auto" w:frame="1"/>
        </w:rPr>
        <w:t>Після першого відбору з флакону препарат необхідно використати протягом 28 діб, за умови зберігання в темному місці при температурі від 5 до 25°С.</w:t>
      </w:r>
    </w:p>
    <w:p w14:paraId="033537C5" w14:textId="77777777" w:rsidR="00122345" w:rsidRPr="00122345" w:rsidRDefault="00122345" w:rsidP="00122345">
      <w:pPr>
        <w:ind w:firstLine="425"/>
        <w:jc w:val="both"/>
        <w:rPr>
          <w:b/>
          <w:bdr w:val="none" w:sz="0" w:space="0" w:color="auto" w:frame="1"/>
        </w:rPr>
      </w:pPr>
      <w:r w:rsidRPr="00122345">
        <w:rPr>
          <w:b/>
          <w:bdr w:val="none" w:sz="0" w:space="0" w:color="auto" w:frame="1"/>
        </w:rPr>
        <w:t>6.3.</w:t>
      </w:r>
      <w:r w:rsidRPr="00122345">
        <w:rPr>
          <w:b/>
          <w:bdr w:val="none" w:sz="0" w:space="0" w:color="auto" w:frame="1"/>
          <w:lang w:val="uk-UA"/>
        </w:rPr>
        <w:t xml:space="preserve"> </w:t>
      </w:r>
      <w:r w:rsidRPr="00122345">
        <w:rPr>
          <w:b/>
          <w:bdr w:val="none" w:sz="0" w:space="0" w:color="auto" w:frame="1"/>
        </w:rPr>
        <w:t>Особливі заходи зберігання</w:t>
      </w:r>
    </w:p>
    <w:p w14:paraId="2BA921B0" w14:textId="77777777" w:rsidR="00122345" w:rsidRPr="00122345" w:rsidRDefault="00122345" w:rsidP="00122345">
      <w:pPr>
        <w:ind w:firstLine="425"/>
        <w:jc w:val="both"/>
        <w:rPr>
          <w:bdr w:val="none" w:sz="0" w:space="0" w:color="auto" w:frame="1"/>
        </w:rPr>
      </w:pPr>
      <w:r w:rsidRPr="00122345">
        <w:rPr>
          <w:bdr w:val="none" w:sz="0" w:space="0" w:color="auto" w:frame="1"/>
          <w:lang w:val="uk-UA"/>
        </w:rPr>
        <w:t>Т</w:t>
      </w:r>
      <w:r w:rsidRPr="00122345">
        <w:rPr>
          <w:bdr w:val="none" w:sz="0" w:space="0" w:color="auto" w:frame="1"/>
        </w:rPr>
        <w:t xml:space="preserve">емне, недоступне для дітей місце </w:t>
      </w:r>
      <w:r w:rsidRPr="00122345">
        <w:rPr>
          <w:bdr w:val="none" w:sz="0" w:space="0" w:color="auto" w:frame="1"/>
          <w:lang w:val="uk-UA"/>
        </w:rPr>
        <w:t>за</w:t>
      </w:r>
      <w:r w:rsidRPr="00122345">
        <w:rPr>
          <w:bdr w:val="none" w:sz="0" w:space="0" w:color="auto" w:frame="1"/>
        </w:rPr>
        <w:t xml:space="preserve"> температур</w:t>
      </w:r>
      <w:r w:rsidRPr="00122345">
        <w:rPr>
          <w:bdr w:val="none" w:sz="0" w:space="0" w:color="auto" w:frame="1"/>
          <w:lang w:val="uk-UA"/>
        </w:rPr>
        <w:t>и</w:t>
      </w:r>
      <w:r w:rsidRPr="00122345">
        <w:rPr>
          <w:bdr w:val="none" w:sz="0" w:space="0" w:color="auto" w:frame="1"/>
        </w:rPr>
        <w:t xml:space="preserve"> від 5</w:t>
      </w:r>
      <w:r w:rsidRPr="00122345">
        <w:rPr>
          <w:bdr w:val="none" w:sz="0" w:space="0" w:color="auto" w:frame="1"/>
          <w:lang w:val="uk-UA"/>
        </w:rPr>
        <w:t xml:space="preserve"> </w:t>
      </w:r>
      <w:r w:rsidRPr="00122345">
        <w:rPr>
          <w:bdr w:val="none" w:sz="0" w:space="0" w:color="auto" w:frame="1"/>
        </w:rPr>
        <w:t>до 25</w:t>
      </w:r>
      <w:r w:rsidRPr="00122345">
        <w:rPr>
          <w:bdr w:val="none" w:sz="0" w:space="0" w:color="auto" w:frame="1"/>
          <w:lang w:val="uk-UA"/>
        </w:rPr>
        <w:t xml:space="preserve"> </w:t>
      </w:r>
      <w:r w:rsidRPr="00122345">
        <w:rPr>
          <w:bdr w:val="none" w:sz="0" w:space="0" w:color="auto" w:frame="1"/>
        </w:rPr>
        <w:t>°С.</w:t>
      </w:r>
    </w:p>
    <w:p w14:paraId="127E1B5C" w14:textId="77777777" w:rsidR="00122345" w:rsidRPr="00122345" w:rsidRDefault="00122345" w:rsidP="00122345">
      <w:pPr>
        <w:ind w:firstLine="425"/>
        <w:jc w:val="both"/>
        <w:rPr>
          <w:b/>
          <w:bdr w:val="none" w:sz="0" w:space="0" w:color="auto" w:frame="1"/>
        </w:rPr>
      </w:pPr>
      <w:r w:rsidRPr="00122345">
        <w:rPr>
          <w:b/>
          <w:bdr w:val="none" w:sz="0" w:space="0" w:color="auto" w:frame="1"/>
        </w:rPr>
        <w:t>6.4.</w:t>
      </w:r>
      <w:r w:rsidRPr="00122345">
        <w:rPr>
          <w:b/>
          <w:bdr w:val="none" w:sz="0" w:space="0" w:color="auto" w:frame="1"/>
          <w:lang w:val="uk-UA"/>
        </w:rPr>
        <w:t xml:space="preserve"> </w:t>
      </w:r>
      <w:r w:rsidRPr="00122345">
        <w:rPr>
          <w:b/>
          <w:bdr w:val="none" w:sz="0" w:space="0" w:color="auto" w:frame="1"/>
        </w:rPr>
        <w:t>Природа і склад контейнера первинного пакування</w:t>
      </w:r>
    </w:p>
    <w:p w14:paraId="0AEC484E" w14:textId="77777777" w:rsidR="00122345" w:rsidRPr="00122345" w:rsidRDefault="00122345" w:rsidP="00122345">
      <w:pPr>
        <w:ind w:firstLine="425"/>
        <w:jc w:val="both"/>
        <w:rPr>
          <w:bdr w:val="none" w:sz="0" w:space="0" w:color="auto" w:frame="1"/>
        </w:rPr>
      </w:pPr>
      <w:r w:rsidRPr="00122345">
        <w:rPr>
          <w:bdr w:val="none" w:sz="0" w:space="0" w:color="auto" w:frame="1"/>
        </w:rPr>
        <w:t>Флакони з темного скл</w:t>
      </w:r>
      <w:r w:rsidRPr="00122345">
        <w:rPr>
          <w:bdr w:val="none" w:sz="0" w:space="0" w:color="auto" w:frame="1"/>
          <w:lang w:val="uk-UA"/>
        </w:rPr>
        <w:t>а</w:t>
      </w:r>
      <w:r w:rsidRPr="00122345">
        <w:rPr>
          <w:bdr w:val="none" w:sz="0" w:space="0" w:color="auto" w:frame="1"/>
        </w:rPr>
        <w:t xml:space="preserve"> або полімерних матеріалів по: 10,0; 50,0; 100,0; 150,0; 200,0; 250,0; 500,0 мл.</w:t>
      </w:r>
    </w:p>
    <w:p w14:paraId="259E8E70" w14:textId="77777777" w:rsidR="00122345" w:rsidRPr="00122345" w:rsidRDefault="00122345" w:rsidP="00122345">
      <w:pPr>
        <w:ind w:firstLine="425"/>
        <w:jc w:val="both"/>
        <w:rPr>
          <w:b/>
          <w:bdr w:val="none" w:sz="0" w:space="0" w:color="auto" w:frame="1"/>
        </w:rPr>
      </w:pPr>
      <w:r w:rsidRPr="00122345">
        <w:rPr>
          <w:b/>
          <w:bdr w:val="none" w:sz="0" w:space="0" w:color="auto" w:frame="1"/>
        </w:rPr>
        <w:t>6.5.</w:t>
      </w:r>
      <w:r w:rsidRPr="00122345">
        <w:rPr>
          <w:b/>
          <w:bdr w:val="none" w:sz="0" w:space="0" w:color="auto" w:frame="1"/>
          <w:lang w:val="uk-UA"/>
        </w:rPr>
        <w:t xml:space="preserve"> </w:t>
      </w:r>
      <w:r w:rsidRPr="00122345">
        <w:rPr>
          <w:b/>
          <w:bdr w:val="none" w:sz="0" w:space="0" w:color="auto" w:frame="1"/>
        </w:rPr>
        <w:t>Особливі заходи безпеки при поводженні з невикористаним препаратом або із його залишками</w:t>
      </w:r>
    </w:p>
    <w:p w14:paraId="4ECB17B5" w14:textId="77777777" w:rsidR="00122345" w:rsidRPr="00122345" w:rsidRDefault="00122345" w:rsidP="00122345">
      <w:pPr>
        <w:widowControl w:val="0"/>
        <w:suppressAutoHyphens/>
        <w:snapToGrid w:val="0"/>
        <w:ind w:firstLine="425"/>
        <w:jc w:val="both"/>
        <w:rPr>
          <w:lang w:val="uk-UA" w:eastAsia="ar-SA"/>
        </w:rPr>
      </w:pPr>
      <w:r w:rsidRPr="00122345">
        <w:rPr>
          <w:lang w:val="uk-UA" w:eastAsia="ar-SA"/>
        </w:rPr>
        <w:t>Порожню упаковку та залишки невикористаного препарату потрібно утилізувати згідно з чинним законодавством.</w:t>
      </w:r>
    </w:p>
    <w:p w14:paraId="60595D5C" w14:textId="77777777" w:rsidR="00122345" w:rsidRPr="00122345" w:rsidRDefault="00122345" w:rsidP="00122345">
      <w:pPr>
        <w:ind w:firstLine="425"/>
        <w:jc w:val="both"/>
        <w:rPr>
          <w:b/>
          <w:bCs/>
        </w:rPr>
      </w:pPr>
      <w:r w:rsidRPr="00122345">
        <w:rPr>
          <w:b/>
          <w:bCs/>
        </w:rPr>
        <w:t>7. Назва та місцезнаходження власника реєстраційного посвідчення</w:t>
      </w:r>
    </w:p>
    <w:p w14:paraId="5F5F6DC2" w14:textId="77777777" w:rsidR="00122345" w:rsidRPr="00122345" w:rsidRDefault="00122345" w:rsidP="00122345">
      <w:pPr>
        <w:ind w:firstLine="425"/>
        <w:jc w:val="both"/>
        <w:rPr>
          <w:bCs/>
          <w:lang w:val="uk-UA"/>
        </w:rPr>
      </w:pPr>
      <w:r w:rsidRPr="00122345">
        <w:rPr>
          <w:bCs/>
          <w:lang w:val="uk-UA"/>
        </w:rPr>
        <w:t>ТОВ "БІОТЕСТЛАБ"</w:t>
      </w:r>
    </w:p>
    <w:p w14:paraId="6B02956C" w14:textId="77777777" w:rsidR="00122345" w:rsidRPr="00122345" w:rsidRDefault="00122345" w:rsidP="00122345">
      <w:pPr>
        <w:ind w:firstLine="425"/>
        <w:jc w:val="both"/>
        <w:rPr>
          <w:bCs/>
          <w:lang w:val="uk-UA"/>
        </w:rPr>
      </w:pPr>
      <w:r w:rsidRPr="00122345">
        <w:rPr>
          <w:bCs/>
        </w:rPr>
        <w:t>Україна,</w:t>
      </w:r>
      <w:r w:rsidRPr="00122345">
        <w:rPr>
          <w:bCs/>
          <w:lang w:val="uk-UA"/>
        </w:rPr>
        <w:t xml:space="preserve"> </w:t>
      </w:r>
      <w:r w:rsidRPr="00122345">
        <w:rPr>
          <w:bCs/>
        </w:rPr>
        <w:t xml:space="preserve">08601, Київська область, м. Васильків, вул. Володимирська, 57А </w:t>
      </w:r>
    </w:p>
    <w:p w14:paraId="5D2B4A4B" w14:textId="77777777" w:rsidR="00122345" w:rsidRPr="00122345" w:rsidRDefault="00122345" w:rsidP="00122345">
      <w:pPr>
        <w:widowControl w:val="0"/>
        <w:ind w:firstLine="425"/>
        <w:jc w:val="both"/>
        <w:rPr>
          <w:b/>
          <w:bCs/>
          <w:lang w:val="uk-UA" w:bidi="en-US"/>
        </w:rPr>
      </w:pPr>
      <w:bookmarkStart w:id="11" w:name="n64"/>
      <w:bookmarkEnd w:id="11"/>
      <w:r w:rsidRPr="00122345">
        <w:rPr>
          <w:b/>
          <w:bCs/>
          <w:lang w:val="uk-UA" w:bidi="en-US"/>
        </w:rPr>
        <w:t>8. Назва та місцезнаходження виробника готового продукту</w:t>
      </w:r>
    </w:p>
    <w:p w14:paraId="60CDF50A" w14:textId="77777777" w:rsidR="00122345" w:rsidRPr="00122345" w:rsidRDefault="00122345" w:rsidP="00122345">
      <w:pPr>
        <w:ind w:firstLine="425"/>
        <w:jc w:val="both"/>
        <w:rPr>
          <w:bCs/>
          <w:lang w:val="uk-UA"/>
        </w:rPr>
      </w:pPr>
      <w:r w:rsidRPr="00122345">
        <w:rPr>
          <w:bCs/>
          <w:lang w:val="uk-UA"/>
        </w:rPr>
        <w:t>ТОВ "БІОТЕСТЛАБ"</w:t>
      </w:r>
    </w:p>
    <w:p w14:paraId="583E59A5" w14:textId="77777777" w:rsidR="00122345" w:rsidRPr="00122345" w:rsidRDefault="00122345" w:rsidP="00122345">
      <w:pPr>
        <w:ind w:firstLine="425"/>
        <w:jc w:val="both"/>
        <w:rPr>
          <w:bCs/>
          <w:lang w:val="uk-UA"/>
        </w:rPr>
      </w:pPr>
      <w:r w:rsidRPr="00122345">
        <w:rPr>
          <w:bCs/>
        </w:rPr>
        <w:t>Україна,</w:t>
      </w:r>
      <w:r w:rsidRPr="00122345">
        <w:rPr>
          <w:bCs/>
          <w:lang w:val="uk-UA"/>
        </w:rPr>
        <w:t xml:space="preserve"> </w:t>
      </w:r>
      <w:r w:rsidRPr="00122345">
        <w:rPr>
          <w:bCs/>
        </w:rPr>
        <w:t>08601, Київська область, Обухівський район, м. Васильків, вул. Лістрового Олександра, 1/3</w:t>
      </w:r>
    </w:p>
    <w:p w14:paraId="6B02070D" w14:textId="77777777" w:rsidR="00122345" w:rsidRPr="00122345" w:rsidRDefault="00122345" w:rsidP="00122345">
      <w:pPr>
        <w:ind w:firstLine="425"/>
        <w:jc w:val="both"/>
        <w:rPr>
          <w:bCs/>
        </w:rPr>
      </w:pPr>
      <w:r w:rsidRPr="00122345">
        <w:rPr>
          <w:bCs/>
        </w:rPr>
        <w:t>www.biotestlab.ua</w:t>
      </w:r>
    </w:p>
    <w:p w14:paraId="47D55E15" w14:textId="77777777" w:rsidR="00122345" w:rsidRPr="00122345" w:rsidRDefault="00122345" w:rsidP="00122345">
      <w:pPr>
        <w:widowControl w:val="0"/>
        <w:ind w:firstLine="425"/>
        <w:jc w:val="both"/>
        <w:rPr>
          <w:b/>
          <w:lang w:val="uk-UA" w:bidi="en-US"/>
        </w:rPr>
      </w:pPr>
      <w:r w:rsidRPr="00122345">
        <w:rPr>
          <w:b/>
          <w:lang w:val="uk-UA" w:bidi="en-US"/>
        </w:rPr>
        <w:t>9. Додаткова інформація.</w:t>
      </w:r>
    </w:p>
    <w:p w14:paraId="5F8715E2" w14:textId="78A6D262" w:rsidR="00122345" w:rsidRPr="00122345" w:rsidRDefault="00540ABA" w:rsidP="00122345">
      <w:pPr>
        <w:widowControl w:val="0"/>
        <w:ind w:firstLine="425"/>
        <w:jc w:val="both"/>
        <w:rPr>
          <w:b/>
          <w:lang w:val="uk-UA" w:bidi="en-US"/>
        </w:rPr>
      </w:pPr>
      <w:r w:rsidRPr="00540ABA">
        <w:t>Рекомендовано відпуск за рецептом</w:t>
      </w:r>
      <w:r w:rsidR="00122345" w:rsidRPr="00122345">
        <w:t>.</w:t>
      </w:r>
    </w:p>
    <w:p w14:paraId="1CB1B918" w14:textId="77777777" w:rsidR="00C54EB0" w:rsidRPr="00122345" w:rsidRDefault="00C54EB0" w:rsidP="00122345">
      <w:pPr>
        <w:ind w:firstLine="425"/>
        <w:rPr>
          <w:rFonts w:eastAsia="Calibri"/>
        </w:rPr>
      </w:pPr>
    </w:p>
    <w:sectPr w:rsidR="00C54EB0" w:rsidRPr="00122345" w:rsidSect="0007385D">
      <w:headerReference w:type="default" r:id="rId7"/>
      <w:footerReference w:type="default" r:id="rId8"/>
      <w:headerReference w:type="first" r:id="rId9"/>
      <w:footerReference w:type="first" r:id="rId10"/>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366D" w14:textId="77777777" w:rsidR="00E7365E" w:rsidRDefault="00E7365E" w:rsidP="00EB429C">
      <w:r>
        <w:separator/>
      </w:r>
    </w:p>
  </w:endnote>
  <w:endnote w:type="continuationSeparator" w:id="0">
    <w:p w14:paraId="3745C183" w14:textId="77777777" w:rsidR="00E7365E" w:rsidRDefault="00E7365E" w:rsidP="00E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88997"/>
      <w:docPartObj>
        <w:docPartGallery w:val="Page Numbers (Bottom of Page)"/>
        <w:docPartUnique/>
      </w:docPartObj>
    </w:sdtPr>
    <w:sdtEndPr/>
    <w:sdtContent>
      <w:p w14:paraId="236674A5" w14:textId="647BDBBA" w:rsidR="00274D5A" w:rsidRDefault="00274D5A">
        <w:pPr>
          <w:pStyle w:val="af1"/>
          <w:jc w:val="center"/>
        </w:pPr>
        <w:r>
          <w:fldChar w:fldCharType="begin"/>
        </w:r>
        <w:r>
          <w:instrText>PAGE   \* MERGEFORMAT</w:instrText>
        </w:r>
        <w:r>
          <w:fldChar w:fldCharType="separate"/>
        </w:r>
        <w:r w:rsidR="00B43D36" w:rsidRPr="00B43D36">
          <w:rPr>
            <w:noProof/>
            <w:lang w:val="uk-UA"/>
          </w:rPr>
          <w:t>3</w:t>
        </w:r>
        <w:r>
          <w:fldChar w:fldCharType="end"/>
        </w:r>
      </w:p>
    </w:sdtContent>
  </w:sdt>
  <w:p w14:paraId="0AF88DDB" w14:textId="77777777" w:rsidR="00274D5A" w:rsidRDefault="00274D5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82299"/>
      <w:docPartObj>
        <w:docPartGallery w:val="Page Numbers (Bottom of Page)"/>
        <w:docPartUnique/>
      </w:docPartObj>
    </w:sdtPr>
    <w:sdtEndPr/>
    <w:sdtContent>
      <w:p w14:paraId="40877A18" w14:textId="4B6247EA" w:rsidR="00274D5A" w:rsidRDefault="00274D5A">
        <w:pPr>
          <w:pStyle w:val="af1"/>
          <w:jc w:val="center"/>
        </w:pPr>
        <w:r>
          <w:fldChar w:fldCharType="begin"/>
        </w:r>
        <w:r>
          <w:instrText>PAGE   \* MERGEFORMAT</w:instrText>
        </w:r>
        <w:r>
          <w:fldChar w:fldCharType="separate"/>
        </w:r>
        <w:r w:rsidR="00B43D36" w:rsidRPr="00B43D36">
          <w:rPr>
            <w:noProof/>
            <w:lang w:val="uk-UA"/>
          </w:rPr>
          <w:t>1</w:t>
        </w:r>
        <w:r>
          <w:fldChar w:fldCharType="end"/>
        </w:r>
      </w:p>
    </w:sdtContent>
  </w:sdt>
  <w:p w14:paraId="0B44E013" w14:textId="77777777" w:rsidR="00274D5A" w:rsidRDefault="00274D5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59BA" w14:textId="77777777" w:rsidR="00E7365E" w:rsidRDefault="00E7365E" w:rsidP="00EB429C">
      <w:r>
        <w:separator/>
      </w:r>
    </w:p>
  </w:footnote>
  <w:footnote w:type="continuationSeparator" w:id="0">
    <w:p w14:paraId="5C9F7A81" w14:textId="77777777" w:rsidR="00E7365E" w:rsidRDefault="00E7365E" w:rsidP="00EB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7561" w14:textId="28F0720A" w:rsidR="00274D5A" w:rsidRPr="0007385D" w:rsidRDefault="00274D5A" w:rsidP="00EB429C">
    <w:pPr>
      <w:pStyle w:val="af"/>
      <w:jc w:val="right"/>
      <w:rPr>
        <w:lang w:val="uk-UA"/>
      </w:rPr>
    </w:pPr>
    <w:r w:rsidRPr="0007385D">
      <w:rPr>
        <w:lang w:val="uk-UA"/>
      </w:rPr>
      <w:t xml:space="preserve">Продовження Додатку1  </w:t>
    </w:r>
  </w:p>
  <w:p w14:paraId="692BF4F6" w14:textId="09D43B74" w:rsidR="00274D5A" w:rsidRPr="00C54EB0" w:rsidRDefault="00274D5A" w:rsidP="001E6EA3">
    <w:pPr>
      <w:pStyle w:val="af"/>
      <w:jc w:val="right"/>
      <w:rPr>
        <w:bCs/>
        <w:color w:val="000000"/>
        <w:szCs w:val="28"/>
        <w:lang w:eastAsia="uk-UA"/>
      </w:rPr>
    </w:pPr>
    <w:r w:rsidRPr="0007385D">
      <w:rPr>
        <w:lang w:val="uk-UA"/>
      </w:rPr>
      <w:t xml:space="preserve">до реєстраційного посвідчення  </w:t>
    </w:r>
    <w:r w:rsidRPr="00836656">
      <w:rPr>
        <w:szCs w:val="28"/>
      </w:rPr>
      <w:t>АВ-06392-01-16</w:t>
    </w:r>
  </w:p>
  <w:p w14:paraId="000A7325" w14:textId="77777777" w:rsidR="00274D5A" w:rsidRPr="0007385D" w:rsidRDefault="00274D5A" w:rsidP="001E6EA3">
    <w:pPr>
      <w:pStyle w:val="af"/>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182" w14:textId="0D0E3973" w:rsidR="00274D5A" w:rsidRPr="0007385D" w:rsidRDefault="00274D5A" w:rsidP="0007385D">
    <w:pPr>
      <w:pStyle w:val="af"/>
      <w:jc w:val="right"/>
      <w:rPr>
        <w:lang w:val="uk-UA"/>
      </w:rPr>
    </w:pPr>
    <w:r w:rsidRPr="0007385D">
      <w:rPr>
        <w:lang w:val="uk-UA"/>
      </w:rPr>
      <w:t xml:space="preserve">Додаток 1  </w:t>
    </w:r>
  </w:p>
  <w:p w14:paraId="1AA77C8B" w14:textId="488F7E11" w:rsidR="00274D5A" w:rsidRPr="00C54EB0" w:rsidRDefault="00274D5A" w:rsidP="001E6EA3">
    <w:pPr>
      <w:pStyle w:val="af"/>
      <w:jc w:val="right"/>
      <w:rPr>
        <w:bCs/>
        <w:color w:val="000000"/>
        <w:szCs w:val="28"/>
        <w:lang w:eastAsia="uk-UA"/>
      </w:rPr>
    </w:pPr>
    <w:r w:rsidRPr="0007385D">
      <w:rPr>
        <w:lang w:val="uk-UA"/>
      </w:rPr>
      <w:t xml:space="preserve">до реєстраційного посвідчення  </w:t>
    </w:r>
    <w:r w:rsidRPr="00836656">
      <w:rPr>
        <w:szCs w:val="28"/>
      </w:rPr>
      <w:t>АВ-06392-01-16</w:t>
    </w:r>
  </w:p>
  <w:p w14:paraId="30486F41" w14:textId="77777777" w:rsidR="00274D5A" w:rsidRPr="0007385D" w:rsidRDefault="00274D5A" w:rsidP="001E6EA3">
    <w:pPr>
      <w:pStyle w:val="af"/>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146115E"/>
    <w:lvl w:ilvl="0">
      <w:start w:val="2"/>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bCs/>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2"/>
        <w:szCs w:val="22"/>
        <w:u w:val="none"/>
      </w:rPr>
    </w:lvl>
    <w:lvl w:ilvl="3">
      <w:start w:val="1"/>
      <w:numFmt w:val="decimal"/>
      <w:lvlText w:val="%1.%2"/>
      <w:lvlJc w:val="left"/>
      <w:rPr>
        <w:b/>
        <w:bCs/>
        <w:i w:val="0"/>
        <w:iCs w:val="0"/>
        <w:smallCaps w:val="0"/>
        <w:strike w:val="0"/>
        <w:color w:val="000000"/>
        <w:spacing w:val="0"/>
        <w:w w:val="100"/>
        <w:position w:val="0"/>
        <w:sz w:val="22"/>
        <w:szCs w:val="22"/>
        <w:u w:val="none"/>
      </w:rPr>
    </w:lvl>
    <w:lvl w:ilvl="4">
      <w:start w:val="1"/>
      <w:numFmt w:val="decimal"/>
      <w:lvlText w:val="%1.%2"/>
      <w:lvlJc w:val="left"/>
      <w:rPr>
        <w:b/>
        <w:bCs/>
        <w:i w:val="0"/>
        <w:iCs w:val="0"/>
        <w:smallCaps w:val="0"/>
        <w:strike w:val="0"/>
        <w:color w:val="000000"/>
        <w:spacing w:val="0"/>
        <w:w w:val="100"/>
        <w:position w:val="0"/>
        <w:sz w:val="22"/>
        <w:szCs w:val="22"/>
        <w:u w:val="none"/>
      </w:rPr>
    </w:lvl>
    <w:lvl w:ilvl="5">
      <w:start w:val="1"/>
      <w:numFmt w:val="decimal"/>
      <w:lvlText w:val="%1.%2"/>
      <w:lvlJc w:val="left"/>
      <w:rPr>
        <w:b/>
        <w:bCs/>
        <w:i w:val="0"/>
        <w:iCs w:val="0"/>
        <w:smallCaps w:val="0"/>
        <w:strike w:val="0"/>
        <w:color w:val="000000"/>
        <w:spacing w:val="0"/>
        <w:w w:val="100"/>
        <w:position w:val="0"/>
        <w:sz w:val="22"/>
        <w:szCs w:val="22"/>
        <w:u w:val="none"/>
      </w:rPr>
    </w:lvl>
    <w:lvl w:ilvl="6">
      <w:start w:val="1"/>
      <w:numFmt w:val="decimal"/>
      <w:lvlText w:val="%1.%2"/>
      <w:lvlJc w:val="left"/>
      <w:rPr>
        <w:b/>
        <w:bCs/>
        <w:i w:val="0"/>
        <w:iCs w:val="0"/>
        <w:smallCaps w:val="0"/>
        <w:strike w:val="0"/>
        <w:color w:val="000000"/>
        <w:spacing w:val="0"/>
        <w:w w:val="100"/>
        <w:position w:val="0"/>
        <w:sz w:val="22"/>
        <w:szCs w:val="22"/>
        <w:u w:val="none"/>
      </w:rPr>
    </w:lvl>
    <w:lvl w:ilvl="7">
      <w:start w:val="1"/>
      <w:numFmt w:val="decimal"/>
      <w:lvlText w:val="%1.%2"/>
      <w:lvlJc w:val="left"/>
      <w:rPr>
        <w:b/>
        <w:bCs/>
        <w:i w:val="0"/>
        <w:iCs w:val="0"/>
        <w:smallCaps w:val="0"/>
        <w:strike w:val="0"/>
        <w:color w:val="000000"/>
        <w:spacing w:val="0"/>
        <w:w w:val="100"/>
        <w:position w:val="0"/>
        <w:sz w:val="22"/>
        <w:szCs w:val="22"/>
        <w:u w:val="none"/>
      </w:rPr>
    </w:lvl>
    <w:lvl w:ilvl="8">
      <w:start w:val="1"/>
      <w:numFmt w:val="decimal"/>
      <w:lvlText w:val="%1.%2"/>
      <w:lvlJc w:val="left"/>
      <w:rPr>
        <w:b/>
        <w:bCs/>
        <w:i w:val="0"/>
        <w:iCs w:val="0"/>
        <w:smallCaps w:val="0"/>
        <w:strike w:val="0"/>
        <w:color w:val="000000"/>
        <w:spacing w:val="0"/>
        <w:w w:val="100"/>
        <w:position w:val="0"/>
        <w:sz w:val="22"/>
        <w:szCs w:val="22"/>
        <w:u w:val="none"/>
      </w:rPr>
    </w:lvl>
  </w:abstractNum>
  <w:abstractNum w:abstractNumId="1" w15:restartNumberingAfterBreak="0">
    <w:nsid w:val="3FE91E1D"/>
    <w:multiLevelType w:val="multilevel"/>
    <w:tmpl w:val="9BB26F1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009247A"/>
    <w:multiLevelType w:val="hybridMultilevel"/>
    <w:tmpl w:val="8CECD6A6"/>
    <w:lvl w:ilvl="0" w:tplc="D60E539A">
      <w:start w:val="1"/>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15:restartNumberingAfterBreak="0">
    <w:nsid w:val="5611053A"/>
    <w:multiLevelType w:val="hybridMultilevel"/>
    <w:tmpl w:val="76029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9B700B3"/>
    <w:multiLevelType w:val="hybridMultilevel"/>
    <w:tmpl w:val="9D64AD5E"/>
    <w:lvl w:ilvl="0" w:tplc="B056440A">
      <w:start w:val="1"/>
      <w:numFmt w:val="decimal"/>
      <w:lvlText w:val="%1."/>
      <w:lvlJc w:val="left"/>
      <w:pPr>
        <w:ind w:left="1712" w:hanging="360"/>
      </w:pPr>
      <w:rPr>
        <w:rFonts w:hint="default"/>
      </w:rPr>
    </w:lvl>
    <w:lvl w:ilvl="1" w:tplc="04190019">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5" w15:restartNumberingAfterBreak="0">
    <w:nsid w:val="72C425E4"/>
    <w:multiLevelType w:val="singleLevel"/>
    <w:tmpl w:val="852C7A26"/>
    <w:lvl w:ilvl="0">
      <w:start w:val="5"/>
      <w:numFmt w:val="decimal"/>
      <w:lvlText w:val="5.%1"/>
      <w:legacy w:legacy="1" w:legacySpace="0" w:legacyIndent="350"/>
      <w:lvlJc w:val="left"/>
      <w:rPr>
        <w:rFonts w:ascii="Times New Roman" w:hAnsi="Times New Roman" w:cs="Times New Roman" w:hint="default"/>
      </w:rPr>
    </w:lvl>
  </w:abstractNum>
  <w:abstractNum w:abstractNumId="6" w15:restartNumberingAfterBreak="0">
    <w:nsid w:val="72C428E2"/>
    <w:multiLevelType w:val="hybridMultilevel"/>
    <w:tmpl w:val="CC9E6AE0"/>
    <w:lvl w:ilvl="0" w:tplc="DD00F37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A9275BC"/>
    <w:multiLevelType w:val="hybridMultilevel"/>
    <w:tmpl w:val="7D909AAC"/>
    <w:lvl w:ilvl="0" w:tplc="0726A78E">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num w:numId="1" w16cid:durableId="603998350">
    <w:abstractNumId w:val="3"/>
  </w:num>
  <w:num w:numId="2" w16cid:durableId="945892250">
    <w:abstractNumId w:val="0"/>
  </w:num>
  <w:num w:numId="3" w16cid:durableId="1947423711">
    <w:abstractNumId w:val="1"/>
  </w:num>
  <w:num w:numId="4" w16cid:durableId="2015182230">
    <w:abstractNumId w:val="5"/>
  </w:num>
  <w:num w:numId="5" w16cid:durableId="1946300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597867">
    <w:abstractNumId w:val="4"/>
  </w:num>
  <w:num w:numId="7" w16cid:durableId="832532021">
    <w:abstractNumId w:val="2"/>
  </w:num>
  <w:num w:numId="8" w16cid:durableId="765148662">
    <w:abstractNumId w:val="7"/>
  </w:num>
  <w:num w:numId="9" w16cid:durableId="1007633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85"/>
    <w:rsid w:val="00052E27"/>
    <w:rsid w:val="0007385D"/>
    <w:rsid w:val="000A5D49"/>
    <w:rsid w:val="000E45FC"/>
    <w:rsid w:val="00116E99"/>
    <w:rsid w:val="00122345"/>
    <w:rsid w:val="001E6EA3"/>
    <w:rsid w:val="00234038"/>
    <w:rsid w:val="00274D5A"/>
    <w:rsid w:val="0030502F"/>
    <w:rsid w:val="003065D9"/>
    <w:rsid w:val="00347D1C"/>
    <w:rsid w:val="003E67C9"/>
    <w:rsid w:val="00474523"/>
    <w:rsid w:val="004931A1"/>
    <w:rsid w:val="004F2BE0"/>
    <w:rsid w:val="00540ABA"/>
    <w:rsid w:val="0055617B"/>
    <w:rsid w:val="0059474E"/>
    <w:rsid w:val="006B4BE9"/>
    <w:rsid w:val="006B5230"/>
    <w:rsid w:val="007247C5"/>
    <w:rsid w:val="00836656"/>
    <w:rsid w:val="008637AB"/>
    <w:rsid w:val="00867716"/>
    <w:rsid w:val="00924BA3"/>
    <w:rsid w:val="00941B6B"/>
    <w:rsid w:val="009C4F13"/>
    <w:rsid w:val="009F0027"/>
    <w:rsid w:val="009F649B"/>
    <w:rsid w:val="00A038F3"/>
    <w:rsid w:val="00A06DD1"/>
    <w:rsid w:val="00A10651"/>
    <w:rsid w:val="00A37BED"/>
    <w:rsid w:val="00AB7585"/>
    <w:rsid w:val="00B43D36"/>
    <w:rsid w:val="00C33D3E"/>
    <w:rsid w:val="00C54EB0"/>
    <w:rsid w:val="00C661BB"/>
    <w:rsid w:val="00C904A1"/>
    <w:rsid w:val="00D71CF8"/>
    <w:rsid w:val="00DA37FE"/>
    <w:rsid w:val="00E008E3"/>
    <w:rsid w:val="00E56965"/>
    <w:rsid w:val="00E7365E"/>
    <w:rsid w:val="00EB429C"/>
    <w:rsid w:val="00EE5F45"/>
    <w:rsid w:val="00F360C1"/>
    <w:rsid w:val="00F73327"/>
    <w:rsid w:val="00F8796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8EEA"/>
  <w15:docId w15:val="{E4DDF0D4-CF03-48C6-BC66-9AB2C4C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8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B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75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75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7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758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758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758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758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5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75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75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75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75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75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7585"/>
    <w:rPr>
      <w:rFonts w:eastAsiaTheme="majorEastAsia" w:cstheme="majorBidi"/>
      <w:color w:val="595959" w:themeColor="text1" w:themeTint="A6"/>
    </w:rPr>
  </w:style>
  <w:style w:type="character" w:customStyle="1" w:styleId="80">
    <w:name w:val="Заголовок 8 Знак"/>
    <w:basedOn w:val="a0"/>
    <w:link w:val="8"/>
    <w:uiPriority w:val="9"/>
    <w:semiHidden/>
    <w:rsid w:val="00AB75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7585"/>
    <w:rPr>
      <w:rFonts w:eastAsiaTheme="majorEastAsia" w:cstheme="majorBidi"/>
      <w:color w:val="272727" w:themeColor="text1" w:themeTint="D8"/>
    </w:rPr>
  </w:style>
  <w:style w:type="paragraph" w:styleId="a3">
    <w:name w:val="Title"/>
    <w:basedOn w:val="a"/>
    <w:next w:val="a"/>
    <w:link w:val="a4"/>
    <w:uiPriority w:val="10"/>
    <w:qFormat/>
    <w:rsid w:val="00AB758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58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758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7585"/>
    <w:pPr>
      <w:spacing w:before="160"/>
      <w:jc w:val="center"/>
    </w:pPr>
    <w:rPr>
      <w:i/>
      <w:iCs/>
      <w:color w:val="404040" w:themeColor="text1" w:themeTint="BF"/>
    </w:rPr>
  </w:style>
  <w:style w:type="character" w:customStyle="1" w:styleId="a8">
    <w:name w:val="Цитата Знак"/>
    <w:basedOn w:val="a0"/>
    <w:link w:val="a7"/>
    <w:uiPriority w:val="29"/>
    <w:rsid w:val="00AB7585"/>
    <w:rPr>
      <w:i/>
      <w:iCs/>
      <w:color w:val="404040" w:themeColor="text1" w:themeTint="BF"/>
    </w:rPr>
  </w:style>
  <w:style w:type="paragraph" w:styleId="a9">
    <w:name w:val="List Paragraph"/>
    <w:basedOn w:val="a"/>
    <w:uiPriority w:val="34"/>
    <w:qFormat/>
    <w:rsid w:val="00AB7585"/>
    <w:pPr>
      <w:ind w:left="720"/>
      <w:contextualSpacing/>
    </w:pPr>
  </w:style>
  <w:style w:type="character" w:styleId="aa">
    <w:name w:val="Intense Emphasis"/>
    <w:basedOn w:val="a0"/>
    <w:uiPriority w:val="21"/>
    <w:qFormat/>
    <w:rsid w:val="00AB7585"/>
    <w:rPr>
      <w:i/>
      <w:iCs/>
      <w:color w:val="0F4761" w:themeColor="accent1" w:themeShade="BF"/>
    </w:rPr>
  </w:style>
  <w:style w:type="paragraph" w:styleId="ab">
    <w:name w:val="Intense Quote"/>
    <w:basedOn w:val="a"/>
    <w:next w:val="a"/>
    <w:link w:val="ac"/>
    <w:uiPriority w:val="30"/>
    <w:qFormat/>
    <w:rsid w:val="00AB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7585"/>
    <w:rPr>
      <w:i/>
      <w:iCs/>
      <w:color w:val="0F4761" w:themeColor="accent1" w:themeShade="BF"/>
    </w:rPr>
  </w:style>
  <w:style w:type="character" w:styleId="ad">
    <w:name w:val="Intense Reference"/>
    <w:basedOn w:val="a0"/>
    <w:uiPriority w:val="32"/>
    <w:qFormat/>
    <w:rsid w:val="00AB7585"/>
    <w:rPr>
      <w:b/>
      <w:bCs/>
      <w:smallCaps/>
      <w:color w:val="0F4761" w:themeColor="accent1" w:themeShade="BF"/>
      <w:spacing w:val="5"/>
    </w:rPr>
  </w:style>
  <w:style w:type="character" w:styleId="ae">
    <w:name w:val="Strong"/>
    <w:uiPriority w:val="22"/>
    <w:qFormat/>
    <w:rsid w:val="00AB7585"/>
    <w:rPr>
      <w:b/>
      <w:bCs/>
    </w:rPr>
  </w:style>
  <w:style w:type="paragraph" w:customStyle="1" w:styleId="21">
    <w:name w:val="заг 2"/>
    <w:basedOn w:val="a"/>
    <w:link w:val="22"/>
    <w:qFormat/>
    <w:rsid w:val="00AB7585"/>
    <w:pPr>
      <w:jc w:val="center"/>
      <w:outlineLvl w:val="1"/>
    </w:pPr>
    <w:rPr>
      <w:b/>
      <w:bCs/>
      <w:sz w:val="28"/>
      <w:lang w:val="uk-UA"/>
    </w:rPr>
  </w:style>
  <w:style w:type="character" w:customStyle="1" w:styleId="22">
    <w:name w:val="заг 2 Знак"/>
    <w:link w:val="21"/>
    <w:rsid w:val="00AB7585"/>
    <w:rPr>
      <w:rFonts w:ascii="Times New Roman" w:eastAsia="Times New Roman" w:hAnsi="Times New Roman" w:cs="Times New Roman"/>
      <w:b/>
      <w:bCs/>
      <w:kern w:val="0"/>
      <w:sz w:val="28"/>
      <w:lang w:val="uk-UA" w:eastAsia="ru-RU"/>
      <w14:ligatures w14:val="none"/>
    </w:rPr>
  </w:style>
  <w:style w:type="paragraph" w:customStyle="1" w:styleId="11">
    <w:name w:val="1 заголовок"/>
    <w:basedOn w:val="a"/>
    <w:link w:val="12"/>
    <w:autoRedefine/>
    <w:qFormat/>
    <w:rsid w:val="00AB7585"/>
    <w:pPr>
      <w:keepNext/>
      <w:spacing w:line="360" w:lineRule="auto"/>
      <w:jc w:val="center"/>
      <w:outlineLvl w:val="0"/>
    </w:pPr>
    <w:rPr>
      <w:rFonts w:eastAsia="Arial Unicode MS"/>
      <w:b/>
      <w:bCs/>
      <w:sz w:val="32"/>
      <w:szCs w:val="32"/>
      <w:lang w:val="uk-UA" w:eastAsia="en-US"/>
    </w:rPr>
  </w:style>
  <w:style w:type="character" w:customStyle="1" w:styleId="12">
    <w:name w:val="1 заголовок Знак"/>
    <w:link w:val="11"/>
    <w:rsid w:val="00AB7585"/>
    <w:rPr>
      <w:rFonts w:ascii="Times New Roman" w:eastAsia="Arial Unicode MS" w:hAnsi="Times New Roman" w:cs="Times New Roman"/>
      <w:b/>
      <w:bCs/>
      <w:kern w:val="0"/>
      <w:sz w:val="32"/>
      <w:szCs w:val="32"/>
      <w:lang w:val="uk-UA"/>
      <w14:ligatures w14:val="none"/>
    </w:rPr>
  </w:style>
  <w:style w:type="paragraph" w:customStyle="1" w:styleId="13">
    <w:name w:val="1 закол"/>
    <w:basedOn w:val="a"/>
    <w:link w:val="14"/>
    <w:qFormat/>
    <w:rsid w:val="00AB7585"/>
    <w:pPr>
      <w:spacing w:line="360" w:lineRule="auto"/>
      <w:ind w:firstLine="709"/>
      <w:jc w:val="both"/>
    </w:pPr>
    <w:rPr>
      <w:rFonts w:eastAsia="Calibri"/>
      <w:b/>
      <w:sz w:val="28"/>
      <w:szCs w:val="22"/>
      <w:lang w:val="uk-UA"/>
    </w:rPr>
  </w:style>
  <w:style w:type="character" w:customStyle="1" w:styleId="14">
    <w:name w:val="1 закол Знак"/>
    <w:link w:val="13"/>
    <w:rsid w:val="00AB7585"/>
    <w:rPr>
      <w:rFonts w:ascii="Times New Roman" w:eastAsia="Calibri" w:hAnsi="Times New Roman" w:cs="Times New Roman"/>
      <w:b/>
      <w:kern w:val="0"/>
      <w:sz w:val="28"/>
      <w:szCs w:val="22"/>
      <w:lang w:val="uk-UA" w:eastAsia="ru-RU"/>
      <w14:ligatures w14:val="none"/>
    </w:rPr>
  </w:style>
  <w:style w:type="paragraph" w:styleId="af">
    <w:name w:val="header"/>
    <w:basedOn w:val="a"/>
    <w:link w:val="af0"/>
    <w:uiPriority w:val="99"/>
    <w:unhideWhenUsed/>
    <w:rsid w:val="00EB429C"/>
    <w:pPr>
      <w:tabs>
        <w:tab w:val="center" w:pos="4677"/>
        <w:tab w:val="right" w:pos="9355"/>
      </w:tabs>
    </w:pPr>
  </w:style>
  <w:style w:type="character" w:customStyle="1" w:styleId="af0">
    <w:name w:val="Верхній колонтитул Знак"/>
    <w:basedOn w:val="a0"/>
    <w:link w:val="af"/>
    <w:uiPriority w:val="99"/>
    <w:rsid w:val="00EB429C"/>
    <w:rPr>
      <w:rFonts w:ascii="Times New Roman" w:eastAsia="Times New Roman" w:hAnsi="Times New Roman" w:cs="Times New Roman"/>
      <w:kern w:val="0"/>
      <w:lang w:val="ru-RU" w:eastAsia="ru-RU"/>
      <w14:ligatures w14:val="none"/>
    </w:rPr>
  </w:style>
  <w:style w:type="paragraph" w:styleId="af1">
    <w:name w:val="footer"/>
    <w:basedOn w:val="a"/>
    <w:link w:val="af2"/>
    <w:uiPriority w:val="99"/>
    <w:unhideWhenUsed/>
    <w:rsid w:val="00EB429C"/>
    <w:pPr>
      <w:tabs>
        <w:tab w:val="center" w:pos="4677"/>
        <w:tab w:val="right" w:pos="9355"/>
      </w:tabs>
    </w:pPr>
  </w:style>
  <w:style w:type="character" w:customStyle="1" w:styleId="af2">
    <w:name w:val="Нижній колонтитул Знак"/>
    <w:basedOn w:val="a0"/>
    <w:link w:val="af1"/>
    <w:uiPriority w:val="99"/>
    <w:rsid w:val="00EB429C"/>
    <w:rPr>
      <w:rFonts w:ascii="Times New Roman" w:eastAsia="Times New Roman" w:hAnsi="Times New Roman" w:cs="Times New Roman"/>
      <w:kern w:val="0"/>
      <w:lang w:val="ru-RU" w:eastAsia="ru-RU"/>
      <w14:ligatures w14:val="none"/>
    </w:rPr>
  </w:style>
  <w:style w:type="paragraph" w:styleId="HTML">
    <w:name w:val="HTML Preformatted"/>
    <w:aliases w:val=" Знак,Знак"/>
    <w:basedOn w:val="a"/>
    <w:link w:val="HTML0"/>
    <w:qFormat/>
    <w:rsid w:val="00F36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3"/>
      <w:szCs w:val="13"/>
    </w:rPr>
  </w:style>
  <w:style w:type="character" w:customStyle="1" w:styleId="HTML0">
    <w:name w:val="Стандартний HTML Знак"/>
    <w:aliases w:val=" Знак Знак,Знак Знак"/>
    <w:basedOn w:val="a0"/>
    <w:link w:val="HTML"/>
    <w:rsid w:val="00F360C1"/>
    <w:rPr>
      <w:rFonts w:ascii="Courier New" w:eastAsia="Times New Roman" w:hAnsi="Courier New" w:cs="Courier New"/>
      <w:color w:val="000000"/>
      <w:kern w:val="0"/>
      <w:sz w:val="13"/>
      <w:szCs w:val="13"/>
      <w:lang w:val="ru-RU" w:eastAsia="ru-RU"/>
      <w14:ligatures w14:val="none"/>
    </w:rPr>
  </w:style>
  <w:style w:type="table" w:customStyle="1" w:styleId="15">
    <w:name w:val="Сітка таблиці1"/>
    <w:basedOn w:val="a1"/>
    <w:next w:val="af3"/>
    <w:uiPriority w:val="59"/>
    <w:rsid w:val="00A06DD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A0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f3"/>
    <w:uiPriority w:val="59"/>
    <w:rsid w:val="00C54EB0"/>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904A1"/>
    <w:rPr>
      <w:sz w:val="16"/>
      <w:szCs w:val="16"/>
    </w:rPr>
  </w:style>
  <w:style w:type="paragraph" w:styleId="af5">
    <w:name w:val="annotation text"/>
    <w:basedOn w:val="a"/>
    <w:link w:val="af6"/>
    <w:uiPriority w:val="99"/>
    <w:semiHidden/>
    <w:unhideWhenUsed/>
    <w:rsid w:val="00C904A1"/>
    <w:rPr>
      <w:sz w:val="20"/>
      <w:szCs w:val="20"/>
    </w:rPr>
  </w:style>
  <w:style w:type="character" w:customStyle="1" w:styleId="af6">
    <w:name w:val="Текст примітки Знак"/>
    <w:basedOn w:val="a0"/>
    <w:link w:val="af5"/>
    <w:uiPriority w:val="99"/>
    <w:semiHidden/>
    <w:rsid w:val="00C904A1"/>
    <w:rPr>
      <w:rFonts w:ascii="Times New Roman" w:eastAsia="Times New Roman" w:hAnsi="Times New Roman" w:cs="Times New Roman"/>
      <w:kern w:val="0"/>
      <w:sz w:val="20"/>
      <w:szCs w:val="20"/>
      <w:lang w:val="ru-RU" w:eastAsia="ru-RU"/>
      <w14:ligatures w14:val="none"/>
    </w:rPr>
  </w:style>
  <w:style w:type="paragraph" w:styleId="af7">
    <w:name w:val="Balloon Text"/>
    <w:basedOn w:val="a"/>
    <w:link w:val="af8"/>
    <w:uiPriority w:val="99"/>
    <w:semiHidden/>
    <w:unhideWhenUsed/>
    <w:rsid w:val="00C904A1"/>
    <w:rPr>
      <w:rFonts w:ascii="Tahoma" w:hAnsi="Tahoma" w:cs="Tahoma"/>
      <w:sz w:val="16"/>
      <w:szCs w:val="16"/>
    </w:rPr>
  </w:style>
  <w:style w:type="character" w:customStyle="1" w:styleId="af8">
    <w:name w:val="Текст у виносці Знак"/>
    <w:basedOn w:val="a0"/>
    <w:link w:val="af7"/>
    <w:uiPriority w:val="99"/>
    <w:semiHidden/>
    <w:rsid w:val="00C904A1"/>
    <w:rPr>
      <w:rFonts w:ascii="Tahoma" w:eastAsia="Times New Roman" w:hAnsi="Tahoma" w:cs="Tahoma"/>
      <w:kern w:val="0"/>
      <w:sz w:val="16"/>
      <w:szCs w:val="16"/>
      <w:lang w:val="ru-RU" w:eastAsia="ru-RU"/>
      <w14:ligatures w14:val="none"/>
    </w:rPr>
  </w:style>
  <w:style w:type="paragraph" w:styleId="af9">
    <w:name w:val="annotation subject"/>
    <w:basedOn w:val="af5"/>
    <w:next w:val="af5"/>
    <w:link w:val="afa"/>
    <w:uiPriority w:val="99"/>
    <w:semiHidden/>
    <w:unhideWhenUsed/>
    <w:rsid w:val="00A038F3"/>
    <w:rPr>
      <w:b/>
      <w:bCs/>
    </w:rPr>
  </w:style>
  <w:style w:type="character" w:customStyle="1" w:styleId="afa">
    <w:name w:val="Тема примітки Знак"/>
    <w:basedOn w:val="af6"/>
    <w:link w:val="af9"/>
    <w:uiPriority w:val="99"/>
    <w:semiHidden/>
    <w:rsid w:val="00A038F3"/>
    <w:rPr>
      <w:rFonts w:ascii="Times New Roman" w:eastAsia="Times New Roman" w:hAnsi="Times New Roman" w:cs="Times New Roman"/>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3602</Words>
  <Characters>8468</Characters>
  <Application>Microsoft Office Word</Application>
  <DocSecurity>0</DocSecurity>
  <Lines>8468</Lines>
  <Paragraphs>1724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vrip-1</dc:creator>
  <cp:keywords/>
  <dc:description/>
  <cp:lastModifiedBy>Наталія Бондаренко</cp:lastModifiedBy>
  <cp:revision>3</cp:revision>
  <dcterms:created xsi:type="dcterms:W3CDTF">2026-04-24T06:13:00Z</dcterms:created>
  <dcterms:modified xsi:type="dcterms:W3CDTF">2026-04-24T08:25:00Z</dcterms:modified>
</cp:coreProperties>
</file>