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477CA" w14:textId="6FAD8A57" w:rsidR="00D71CF8" w:rsidRPr="002C2C86" w:rsidRDefault="00D71CF8" w:rsidP="00D71CF8">
      <w:pPr>
        <w:ind w:firstLine="567"/>
        <w:jc w:val="center"/>
        <w:rPr>
          <w:b/>
          <w:bdr w:val="none" w:sz="0" w:space="0" w:color="auto" w:frame="1"/>
          <w:lang w:val="uk-UA"/>
        </w:rPr>
      </w:pPr>
      <w:r w:rsidRPr="002C2C86">
        <w:rPr>
          <w:b/>
          <w:bdr w:val="none" w:sz="0" w:space="0" w:color="auto" w:frame="1"/>
        </w:rPr>
        <w:t>Коротка характеристика ветеринарного препарату</w:t>
      </w:r>
    </w:p>
    <w:p w14:paraId="676DA96D" w14:textId="77777777" w:rsidR="00177CBA" w:rsidRPr="002C2C86" w:rsidRDefault="00177CBA" w:rsidP="00D71CF8">
      <w:pPr>
        <w:ind w:firstLine="567"/>
        <w:jc w:val="center"/>
        <w:rPr>
          <w:b/>
          <w:bdr w:val="none" w:sz="0" w:space="0" w:color="auto" w:frame="1"/>
          <w:lang w:val="uk-UA"/>
        </w:rPr>
      </w:pPr>
    </w:p>
    <w:p w14:paraId="5C645414"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 xml:space="preserve">1. Назва </w:t>
      </w:r>
    </w:p>
    <w:p w14:paraId="0FFA58FD"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ТИЛМІКОН-250</w:t>
      </w:r>
    </w:p>
    <w:p w14:paraId="12348D99"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2. Склад</w:t>
      </w:r>
    </w:p>
    <w:p w14:paraId="0528D617" w14:textId="6930E9DA" w:rsidR="00D71CF8" w:rsidRPr="002C2C86" w:rsidRDefault="00D71CF8" w:rsidP="00D71CF8">
      <w:pPr>
        <w:ind w:firstLine="567"/>
        <w:jc w:val="both"/>
        <w:rPr>
          <w:bdr w:val="none" w:sz="0" w:space="0" w:color="auto" w:frame="1"/>
          <w:lang w:val="uk-UA"/>
        </w:rPr>
      </w:pPr>
      <w:r w:rsidRPr="002C2C86">
        <w:rPr>
          <w:bdr w:val="none" w:sz="0" w:space="0" w:color="auto" w:frame="1"/>
          <w:lang w:val="uk-UA"/>
        </w:rPr>
        <w:t>1 мл препарату містить діючу речовину</w:t>
      </w:r>
      <w:r w:rsidR="00623617" w:rsidRPr="002C2C86">
        <w:rPr>
          <w:bdr w:val="none" w:sz="0" w:space="0" w:color="auto" w:frame="1"/>
          <w:lang w:val="uk-UA"/>
        </w:rPr>
        <w:t>:</w:t>
      </w:r>
    </w:p>
    <w:p w14:paraId="0AA9E9FB"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тилмікозин - 250 мг.</w:t>
      </w:r>
    </w:p>
    <w:p w14:paraId="3381E972"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Допоміжні речовини: пропіленгліколь, спирт бензиловий,</w:t>
      </w:r>
      <w:r w:rsidRPr="002C2C86">
        <w:rPr>
          <w:bdr w:val="none" w:sz="0" w:space="0" w:color="auto" w:frame="1"/>
          <w:lang w:val="uk-UA" w:eastAsia="uk-UA"/>
        </w:rPr>
        <w:t xml:space="preserve"> кислота лимонна моногідрат,</w:t>
      </w:r>
      <w:r w:rsidRPr="002C2C86">
        <w:rPr>
          <w:bdr w:val="none" w:sz="0" w:space="0" w:color="auto" w:frame="1"/>
          <w:lang w:val="uk-UA"/>
        </w:rPr>
        <w:t xml:space="preserve"> вода очищена.</w:t>
      </w:r>
    </w:p>
    <w:p w14:paraId="19E59B26"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3. Фармацевтична форма</w:t>
      </w:r>
    </w:p>
    <w:p w14:paraId="187DC764"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Розчин для перорального застосування.</w:t>
      </w:r>
    </w:p>
    <w:p w14:paraId="2C56FEDA"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4. Фармакологічні властивості</w:t>
      </w:r>
    </w:p>
    <w:p w14:paraId="207BBB87" w14:textId="77777777" w:rsidR="00D71CF8" w:rsidRPr="002C2C86" w:rsidRDefault="00D71CF8" w:rsidP="00D71CF8">
      <w:pPr>
        <w:ind w:firstLine="567"/>
        <w:jc w:val="both"/>
        <w:rPr>
          <w:b/>
          <w:bCs/>
          <w:i/>
          <w:iCs/>
          <w:bdr w:val="none" w:sz="0" w:space="0" w:color="auto" w:frame="1"/>
          <w:shd w:val="clear" w:color="auto" w:fill="FFFFFF"/>
          <w:lang w:val="uk-UA"/>
        </w:rPr>
      </w:pPr>
      <w:bookmarkStart w:id="0" w:name="44"/>
      <w:bookmarkEnd w:id="0"/>
      <w:r w:rsidRPr="002C2C86">
        <w:rPr>
          <w:b/>
          <w:bCs/>
          <w:i/>
          <w:iCs/>
          <w:bdr w:val="none" w:sz="0" w:space="0" w:color="auto" w:frame="1"/>
          <w:lang w:val="uk-UA"/>
        </w:rPr>
        <w:t>АТС vet класифікаційний код QJ01- антибактеріальні ветеринарні препарати для системного застосування. QJ01FA91 - Тилмікозин.</w:t>
      </w:r>
    </w:p>
    <w:p w14:paraId="4DD16C67" w14:textId="77777777" w:rsidR="00700816" w:rsidRPr="002C2C86" w:rsidRDefault="00700816" w:rsidP="00700816">
      <w:pPr>
        <w:ind w:firstLine="567"/>
        <w:jc w:val="both"/>
        <w:rPr>
          <w:bdr w:val="none" w:sz="0" w:space="0" w:color="auto" w:frame="1"/>
          <w:lang w:val="uk-UA"/>
        </w:rPr>
      </w:pPr>
      <w:r w:rsidRPr="002C2C86">
        <w:rPr>
          <w:bdr w:val="none" w:sz="0" w:space="0" w:color="auto" w:frame="1"/>
          <w:lang w:val="uk-UA"/>
        </w:rPr>
        <w:t>Тилмікозин - навіпсинтетичний антибіотик макролідної групи, який у малих концентраціях діє бактеріостатично, а у великих – бактерицидно</w:t>
      </w:r>
      <w:r w:rsidRPr="002C2C86">
        <w:rPr>
          <w:bdr w:val="none" w:sz="0" w:space="0" w:color="auto" w:frame="1"/>
        </w:rPr>
        <w:t>. Він активний проти</w:t>
      </w:r>
      <w:r w:rsidRPr="002C2C86">
        <w:rPr>
          <w:bdr w:val="none" w:sz="0" w:space="0" w:color="auto" w:frame="1"/>
          <w:lang w:val="uk-UA"/>
        </w:rPr>
        <w:t xml:space="preserve"> на грам позитивних (</w:t>
      </w:r>
      <w:r w:rsidRPr="002C2C86">
        <w:rPr>
          <w:i/>
          <w:bdr w:val="none" w:sz="0" w:space="0" w:color="auto" w:frame="1"/>
          <w:lang w:val="uk-UA"/>
        </w:rPr>
        <w:t>Actinomyces spp., Corynebacterium spp., Staphylococcus aureus, Clostridium perfringens</w:t>
      </w:r>
      <w:r w:rsidRPr="002C2C86">
        <w:rPr>
          <w:bdr w:val="none" w:sz="0" w:space="0" w:color="auto" w:frame="1"/>
          <w:lang w:val="uk-UA"/>
        </w:rPr>
        <w:t>) та грамнегативні (</w:t>
      </w:r>
      <w:r w:rsidRPr="002C2C86">
        <w:rPr>
          <w:i/>
          <w:bdr w:val="none" w:sz="0" w:space="0" w:color="auto" w:frame="1"/>
          <w:lang w:val="uk-UA"/>
        </w:rPr>
        <w:t xml:space="preserve">Pasteurella spp., </w:t>
      </w:r>
      <w:r w:rsidRPr="002C2C86">
        <w:rPr>
          <w:i/>
          <w:bdr w:val="none" w:sz="0" w:space="0" w:color="auto" w:frame="1"/>
        </w:rPr>
        <w:t>Mannheimia</w:t>
      </w:r>
      <w:r w:rsidRPr="002C2C86">
        <w:rPr>
          <w:i/>
          <w:bdr w:val="none" w:sz="0" w:space="0" w:color="auto" w:frame="1"/>
          <w:lang w:val="uk-UA"/>
        </w:rPr>
        <w:t xml:space="preserve"> </w:t>
      </w:r>
      <w:r w:rsidRPr="002C2C86">
        <w:rPr>
          <w:i/>
          <w:bdr w:val="none" w:sz="0" w:space="0" w:color="auto" w:frame="1"/>
        </w:rPr>
        <w:t>haemolytica</w:t>
      </w:r>
      <w:r w:rsidRPr="002C2C86">
        <w:rPr>
          <w:i/>
          <w:bdr w:val="none" w:sz="0" w:space="0" w:color="auto" w:frame="1"/>
          <w:lang w:val="uk-UA"/>
        </w:rPr>
        <w:t xml:space="preserve">, </w:t>
      </w:r>
      <w:r w:rsidRPr="002C2C86">
        <w:rPr>
          <w:bCs/>
          <w:i/>
          <w:iCs/>
          <w:bdr w:val="none" w:sz="0" w:space="0" w:color="auto" w:frame="1"/>
        </w:rPr>
        <w:t>Actinobacillus</w:t>
      </w:r>
      <w:r w:rsidRPr="002C2C86">
        <w:rPr>
          <w:bCs/>
          <w:i/>
          <w:iCs/>
          <w:bdr w:val="none" w:sz="0" w:space="0" w:color="auto" w:frame="1"/>
          <w:lang w:val="uk-UA"/>
        </w:rPr>
        <w:t xml:space="preserve"> </w:t>
      </w:r>
      <w:r w:rsidRPr="002C2C86">
        <w:rPr>
          <w:bCs/>
          <w:i/>
          <w:iCs/>
          <w:bdr w:val="none" w:sz="0" w:space="0" w:color="auto" w:frame="1"/>
        </w:rPr>
        <w:t>pleuropneumoniae</w:t>
      </w:r>
      <w:r w:rsidRPr="002C2C86">
        <w:rPr>
          <w:bCs/>
          <w:i/>
          <w:iCs/>
          <w:bdr w:val="none" w:sz="0" w:space="0" w:color="auto" w:frame="1"/>
          <w:lang w:val="uk-UA"/>
        </w:rPr>
        <w:t xml:space="preserve">, </w:t>
      </w:r>
      <w:r w:rsidRPr="002C2C86">
        <w:rPr>
          <w:i/>
          <w:bdr w:val="none" w:sz="0" w:space="0" w:color="auto" w:frame="1"/>
          <w:lang w:val="en-US"/>
        </w:rPr>
        <w:t>Fusobacterium</w:t>
      </w:r>
      <w:r w:rsidRPr="002C2C86">
        <w:rPr>
          <w:i/>
          <w:bdr w:val="none" w:sz="0" w:space="0" w:color="auto" w:frame="1"/>
          <w:lang w:val="uk-UA"/>
        </w:rPr>
        <w:t xml:space="preserve"> </w:t>
      </w:r>
      <w:r w:rsidRPr="002C2C86">
        <w:rPr>
          <w:i/>
          <w:bdr w:val="none" w:sz="0" w:space="0" w:color="auto" w:frame="1"/>
          <w:lang w:val="en-US"/>
        </w:rPr>
        <w:t>necrophorum</w:t>
      </w:r>
      <w:r w:rsidRPr="002C2C86">
        <w:rPr>
          <w:bdr w:val="none" w:sz="0" w:space="0" w:color="auto" w:frame="1"/>
          <w:lang w:val="uk-UA"/>
        </w:rPr>
        <w:t>) мікроорганізми, а також на мікоплазми (</w:t>
      </w:r>
      <w:r w:rsidRPr="002C2C86">
        <w:rPr>
          <w:i/>
          <w:bdr w:val="none" w:sz="0" w:space="0" w:color="auto" w:frame="1"/>
          <w:lang w:val="uk-UA"/>
        </w:rPr>
        <w:t>Mycoplasma spp.</w:t>
      </w:r>
      <w:r w:rsidRPr="002C2C86">
        <w:rPr>
          <w:bdr w:val="none" w:sz="0" w:space="0" w:color="auto" w:frame="1"/>
          <w:lang w:val="uk-UA"/>
        </w:rPr>
        <w:t>). Механізм дії тилмікозину полягає в блокуванні синтезу білка в бактеріальній клітині в результаті утворення комплексу з 50</w:t>
      </w:r>
      <w:r w:rsidRPr="002C2C86">
        <w:rPr>
          <w:bdr w:val="none" w:sz="0" w:space="0" w:color="auto" w:frame="1"/>
          <w:lang w:val="en-US"/>
        </w:rPr>
        <w:t>S</w:t>
      </w:r>
      <w:r w:rsidRPr="002C2C86">
        <w:rPr>
          <w:bdr w:val="none" w:sz="0" w:space="0" w:color="auto" w:frame="1"/>
          <w:lang w:val="uk-UA"/>
        </w:rPr>
        <w:t>-субодиницями рибосом.</w:t>
      </w:r>
    </w:p>
    <w:p w14:paraId="76388BFF" w14:textId="77777777" w:rsidR="00700816" w:rsidRPr="002C2C86" w:rsidRDefault="00700816" w:rsidP="00700816">
      <w:pPr>
        <w:ind w:firstLine="567"/>
        <w:jc w:val="both"/>
        <w:rPr>
          <w:bdr w:val="none" w:sz="0" w:space="0" w:color="auto" w:frame="1"/>
        </w:rPr>
      </w:pPr>
      <w:r w:rsidRPr="002C2C86">
        <w:rPr>
          <w:bdr w:val="none" w:sz="0" w:space="0" w:color="auto" w:frame="1"/>
          <w:lang w:val="uk-UA"/>
        </w:rPr>
        <w:t>За</w:t>
      </w:r>
      <w:r w:rsidRPr="002C2C86">
        <w:rPr>
          <w:bdr w:val="none" w:sz="0" w:space="0" w:color="auto" w:frame="1"/>
        </w:rPr>
        <w:t xml:space="preserve"> перорально</w:t>
      </w:r>
      <w:r w:rsidRPr="002C2C86">
        <w:rPr>
          <w:bdr w:val="none" w:sz="0" w:space="0" w:color="auto" w:frame="1"/>
          <w:lang w:val="uk-UA"/>
        </w:rPr>
        <w:t>го</w:t>
      </w:r>
      <w:r w:rsidRPr="002C2C86">
        <w:rPr>
          <w:bdr w:val="none" w:sz="0" w:space="0" w:color="auto" w:frame="1"/>
        </w:rPr>
        <w:t xml:space="preserve"> застосуванн</w:t>
      </w:r>
      <w:r w:rsidRPr="002C2C86">
        <w:rPr>
          <w:bdr w:val="none" w:sz="0" w:space="0" w:color="auto" w:frame="1"/>
          <w:lang w:val="uk-UA"/>
        </w:rPr>
        <w:t>я</w:t>
      </w:r>
      <w:r w:rsidRPr="002C2C86">
        <w:rPr>
          <w:bdr w:val="none" w:sz="0" w:space="0" w:color="auto" w:frame="1"/>
        </w:rPr>
        <w:t xml:space="preserve"> тилмікозин добре всмоктується з травного каналу. Він накопичується в фагоцитах (макрофаги, гетерофіли) і в тканинах респіраторних органів </w:t>
      </w:r>
      <w:r w:rsidRPr="002C2C86">
        <w:rPr>
          <w:bdr w:val="none" w:sz="0" w:space="0" w:color="auto" w:frame="1"/>
          <w:lang w:val="uk-UA"/>
        </w:rPr>
        <w:t xml:space="preserve">тварин </w:t>
      </w:r>
      <w:r w:rsidRPr="002C2C86">
        <w:rPr>
          <w:bdr w:val="none" w:sz="0" w:space="0" w:color="auto" w:frame="1"/>
        </w:rPr>
        <w:t>у концентраціях, що значно перевищують концентрацію в сироватці крові. Максимальна концентрація тилмікозин</w:t>
      </w:r>
      <w:r w:rsidRPr="002C2C86">
        <w:rPr>
          <w:bdr w:val="none" w:sz="0" w:space="0" w:color="auto" w:frame="1"/>
          <w:lang w:val="uk-UA"/>
        </w:rPr>
        <w:t xml:space="preserve">у </w:t>
      </w:r>
      <w:r w:rsidRPr="002C2C86">
        <w:rPr>
          <w:bdr w:val="none" w:sz="0" w:space="0" w:color="auto" w:frame="1"/>
        </w:rPr>
        <w:t xml:space="preserve">визначається в крові через 1-2 години. </w:t>
      </w:r>
    </w:p>
    <w:p w14:paraId="725FBB02" w14:textId="5A010EC6" w:rsidR="00700816" w:rsidRPr="002C2C86" w:rsidRDefault="00700816" w:rsidP="00700816">
      <w:pPr>
        <w:ind w:firstLine="567"/>
        <w:jc w:val="both"/>
        <w:rPr>
          <w:bdr w:val="none" w:sz="0" w:space="0" w:color="auto" w:frame="1"/>
          <w:lang w:val="uk-UA"/>
        </w:rPr>
      </w:pPr>
      <w:r w:rsidRPr="002C2C86">
        <w:rPr>
          <w:bdr w:val="none" w:sz="0" w:space="0" w:color="auto" w:frame="1"/>
        </w:rPr>
        <w:t xml:space="preserve">У телят тилмікозин з’являється </w:t>
      </w:r>
      <w:r w:rsidRPr="002C2C86">
        <w:rPr>
          <w:bdr w:val="none" w:sz="0" w:space="0" w:color="auto" w:frame="1"/>
          <w:lang w:val="uk-UA"/>
        </w:rPr>
        <w:t>в</w:t>
      </w:r>
      <w:r w:rsidRPr="002C2C86">
        <w:rPr>
          <w:bdr w:val="none" w:sz="0" w:space="0" w:color="auto" w:frame="1"/>
        </w:rPr>
        <w:t xml:space="preserve"> легенях вже через 6 годин </w:t>
      </w:r>
      <w:r w:rsidRPr="002C2C86">
        <w:rPr>
          <w:bdr w:val="none" w:sz="0" w:space="0" w:color="auto" w:frame="1"/>
          <w:lang w:val="uk-UA"/>
        </w:rPr>
        <w:t>після перорального застосування у дозі 25 мг тилмікозину на 1 кг маси тіла на добу, середня концентрація препарату в тканині легень становила 3,1 мкг/г</w:t>
      </w:r>
      <w:r w:rsidRPr="002C2C86">
        <w:rPr>
          <w:bdr w:val="none" w:sz="0" w:space="0" w:color="auto" w:frame="1"/>
        </w:rPr>
        <w:t xml:space="preserve"> і утримується </w:t>
      </w:r>
      <w:r w:rsidRPr="002C2C86">
        <w:rPr>
          <w:bdr w:val="none" w:sz="0" w:space="0" w:color="auto" w:frame="1"/>
          <w:lang w:val="uk-UA"/>
        </w:rPr>
        <w:t xml:space="preserve">упродовж </w:t>
      </w:r>
      <w:r w:rsidRPr="002C2C86">
        <w:rPr>
          <w:bdr w:val="none" w:sz="0" w:space="0" w:color="auto" w:frame="1"/>
        </w:rPr>
        <w:t xml:space="preserve">60 годин після останнього прийому. </w:t>
      </w:r>
      <w:r w:rsidRPr="002C2C86">
        <w:rPr>
          <w:bdr w:val="none" w:sz="0" w:space="0" w:color="auto" w:frame="1"/>
          <w:lang w:val="uk-UA"/>
        </w:rPr>
        <w:t>Через 78 годин після початку ліку</w:t>
      </w:r>
      <w:r w:rsidR="00177CBA" w:rsidRPr="002C2C86">
        <w:rPr>
          <w:bdr w:val="none" w:sz="0" w:space="0" w:color="auto" w:frame="1"/>
          <w:lang w:val="uk-UA"/>
        </w:rPr>
        <w:t>вання концентрація тилмікозину в</w:t>
      </w:r>
      <w:r w:rsidRPr="002C2C86">
        <w:rPr>
          <w:bdr w:val="none" w:sz="0" w:space="0" w:color="auto" w:frame="1"/>
          <w:lang w:val="uk-UA"/>
        </w:rPr>
        <w:t xml:space="preserve"> легеневій тканині становила 42,7 мкг/г. </w:t>
      </w:r>
      <w:r w:rsidRPr="002C2C86">
        <w:rPr>
          <w:bdr w:val="none" w:sz="0" w:space="0" w:color="auto" w:frame="1"/>
        </w:rPr>
        <w:t>Тилмікозин також знаходиться у високих концентраціях у тканинах печінки та нирок.</w:t>
      </w:r>
    </w:p>
    <w:p w14:paraId="5D9621DA" w14:textId="477E0127" w:rsidR="00700816" w:rsidRPr="002C2C86" w:rsidRDefault="00700816" w:rsidP="00700816">
      <w:pPr>
        <w:ind w:firstLine="567"/>
        <w:jc w:val="both"/>
        <w:rPr>
          <w:bdr w:val="none" w:sz="0" w:space="0" w:color="auto" w:frame="1"/>
          <w:lang w:val="uk-UA"/>
        </w:rPr>
      </w:pPr>
      <w:r w:rsidRPr="002C2C86">
        <w:rPr>
          <w:bdr w:val="none" w:sz="0" w:space="0" w:color="auto" w:frame="1"/>
          <w:lang w:val="uk-UA"/>
        </w:rPr>
        <w:t xml:space="preserve">Після перорального застосування тилмікозину свиням у терапевтичній дозі він швидко всмоктується з травного каналу та переходить із плазми крові в легені. У результаті цього в сироватці крові рівень тилмікозину є низьким, а в легенях тилмікозин з’являється вже через 6 годин після початку лікування. </w:t>
      </w:r>
      <w:r w:rsidRPr="002C2C86">
        <w:rPr>
          <w:bdr w:val="none" w:sz="0" w:space="0" w:color="auto" w:frame="1"/>
        </w:rPr>
        <w:t xml:space="preserve">У свиней після перорального застосування максимальна концентрація </w:t>
      </w:r>
      <w:r w:rsidRPr="002C2C86">
        <w:rPr>
          <w:bdr w:val="none" w:sz="0" w:space="0" w:color="auto" w:frame="1"/>
          <w:lang w:val="uk-UA"/>
        </w:rPr>
        <w:t xml:space="preserve">тилмікозину </w:t>
      </w:r>
      <w:r w:rsidRPr="002C2C86">
        <w:rPr>
          <w:bdr w:val="none" w:sz="0" w:space="0" w:color="auto" w:frame="1"/>
        </w:rPr>
        <w:t>спостерігається в легеневій тканині</w:t>
      </w:r>
      <w:r w:rsidRPr="002C2C86">
        <w:rPr>
          <w:bdr w:val="none" w:sz="0" w:space="0" w:color="auto" w:frame="1"/>
          <w:lang w:val="uk-UA"/>
        </w:rPr>
        <w:t xml:space="preserve">, і утримується </w:t>
      </w:r>
      <w:r w:rsidRPr="002C2C86">
        <w:rPr>
          <w:bdr w:val="none" w:sz="0" w:space="0" w:color="auto" w:frame="1"/>
        </w:rPr>
        <w:t>протягом 5</w:t>
      </w:r>
      <w:r w:rsidRPr="002C2C86">
        <w:rPr>
          <w:bdr w:val="none" w:sz="0" w:space="0" w:color="auto" w:frame="1"/>
          <w:lang w:val="uk-UA"/>
        </w:rPr>
        <w:t>-и</w:t>
      </w:r>
      <w:r w:rsidRPr="002C2C86">
        <w:rPr>
          <w:bdr w:val="none" w:sz="0" w:space="0" w:color="auto" w:frame="1"/>
        </w:rPr>
        <w:t xml:space="preserve"> діб після початку лікування. </w:t>
      </w:r>
    </w:p>
    <w:p w14:paraId="639D9836" w14:textId="1F63C92A" w:rsidR="00700816" w:rsidRPr="002C2C86" w:rsidRDefault="00700816" w:rsidP="00700816">
      <w:pPr>
        <w:ind w:firstLine="567"/>
        <w:jc w:val="both"/>
        <w:rPr>
          <w:bdr w:val="none" w:sz="0" w:space="0" w:color="auto" w:frame="1"/>
          <w:lang w:val="uk-UA"/>
        </w:rPr>
      </w:pPr>
      <w:r w:rsidRPr="002C2C86">
        <w:rPr>
          <w:bdr w:val="none" w:sz="0" w:space="0" w:color="auto" w:frame="1"/>
          <w:lang w:val="uk-UA"/>
        </w:rPr>
        <w:t xml:space="preserve">У курей вже через 6 годин після перорального застосування тилмікозину </w:t>
      </w:r>
      <w:r w:rsidR="00177CBA" w:rsidRPr="002C2C86">
        <w:rPr>
          <w:bdr w:val="none" w:sz="0" w:space="0" w:color="auto" w:frame="1"/>
          <w:lang w:val="uk-UA"/>
        </w:rPr>
        <w:t>в</w:t>
      </w:r>
      <w:r w:rsidRPr="002C2C86">
        <w:rPr>
          <w:bdr w:val="none" w:sz="0" w:space="0" w:color="auto" w:frame="1"/>
          <w:lang w:val="uk-UA"/>
        </w:rPr>
        <w:t xml:space="preserve"> дозі 75 мг тилмікозину на літр питної води його середні концентрації, виявлені </w:t>
      </w:r>
      <w:r w:rsidR="00177CBA" w:rsidRPr="002C2C86">
        <w:rPr>
          <w:bdr w:val="none" w:sz="0" w:space="0" w:color="auto" w:frame="1"/>
          <w:lang w:val="uk-UA"/>
        </w:rPr>
        <w:t>в</w:t>
      </w:r>
      <w:r w:rsidRPr="002C2C86">
        <w:rPr>
          <w:bdr w:val="none" w:sz="0" w:space="0" w:color="auto" w:frame="1"/>
          <w:lang w:val="uk-UA"/>
        </w:rPr>
        <w:t xml:space="preserve"> легеневій та альвеолярній тканині, становили 0,63 мкг/г та 0,30 мкг/г, відповідно. Через 48 годин після початку лікування концентрації тилмікозину в легеневій та альвеолярній тканині становили 2,3 мкг/г і 3,29 мкг/г, відповідно. Дія тилмікозину триває понад 48 годин після останнього перорального застосування, що перевищує період, необхідний для лікування респіраторних захворювань.</w:t>
      </w:r>
    </w:p>
    <w:p w14:paraId="2FE53EAA" w14:textId="690B2E5E" w:rsidR="00700816" w:rsidRPr="002C2C86" w:rsidRDefault="00700816" w:rsidP="00700816">
      <w:pPr>
        <w:ind w:firstLine="567"/>
        <w:jc w:val="both"/>
        <w:rPr>
          <w:bdr w:val="none" w:sz="0" w:space="0" w:color="auto" w:frame="1"/>
          <w:lang w:val="uk-UA"/>
        </w:rPr>
      </w:pPr>
      <w:r w:rsidRPr="002C2C86">
        <w:rPr>
          <w:bdr w:val="none" w:sz="0" w:space="0" w:color="auto" w:frame="1"/>
          <w:lang w:val="uk-UA"/>
        </w:rPr>
        <w:t xml:space="preserve">У індиків після перорального застосування тилмікозину </w:t>
      </w:r>
      <w:r w:rsidR="00177CBA" w:rsidRPr="002C2C86">
        <w:rPr>
          <w:bdr w:val="none" w:sz="0" w:space="0" w:color="auto" w:frame="1"/>
          <w:lang w:val="uk-UA"/>
        </w:rPr>
        <w:t>в</w:t>
      </w:r>
      <w:r w:rsidRPr="002C2C86">
        <w:rPr>
          <w:bdr w:val="none" w:sz="0" w:space="0" w:color="auto" w:frame="1"/>
          <w:lang w:val="uk-UA"/>
        </w:rPr>
        <w:t xml:space="preserve"> дозі 75 мг на літр питної води, середні концентрації діючої речовини, виявлені в легеневій тканині, тканині повітроносних мішків та плазмі крові через 5 днів після початку лікування, становили 1,89 мкг/мл, 3,71 мкг/мл і 0,02 мкг/г, відповідно. Найвища середня концентрація тилмікозину в легеневій тканині становила 2,19 мкг/г на 6-й день; у тканині повітроносних мішків 4,18 мкг/г на 2-й день і в плазмі крові 0,172 мкг/г на 3-й день.</w:t>
      </w:r>
    </w:p>
    <w:p w14:paraId="08A1BA95" w14:textId="008EA873" w:rsidR="00700816" w:rsidRPr="002C2C86" w:rsidRDefault="00700816" w:rsidP="00700816">
      <w:pPr>
        <w:ind w:firstLine="567"/>
        <w:jc w:val="both"/>
        <w:rPr>
          <w:bdr w:val="none" w:sz="0" w:space="0" w:color="auto" w:frame="1"/>
          <w:lang w:val="uk-UA"/>
        </w:rPr>
      </w:pPr>
      <w:r w:rsidRPr="002C2C86">
        <w:rPr>
          <w:bdr w:val="none" w:sz="0" w:space="0" w:color="auto" w:frame="1"/>
          <w:lang w:val="uk-UA"/>
        </w:rPr>
        <w:lastRenderedPageBreak/>
        <w:t xml:space="preserve">Виводиться тилмікозин з організму тварин, в основному, </w:t>
      </w:r>
      <w:r w:rsidR="00177CBA" w:rsidRPr="002C2C86">
        <w:rPr>
          <w:bdr w:val="none" w:sz="0" w:space="0" w:color="auto" w:frame="1"/>
          <w:lang w:val="uk-UA"/>
        </w:rPr>
        <w:t>в</w:t>
      </w:r>
      <w:r w:rsidRPr="002C2C86">
        <w:rPr>
          <w:bdr w:val="none" w:sz="0" w:space="0" w:color="auto" w:frame="1"/>
          <w:lang w:val="uk-UA"/>
        </w:rPr>
        <w:t xml:space="preserve"> незміненому вигляді, головним чином, шляхом клубочкової фільтрації, а також екстретується без змін у травний канал з жовчю, інактивуючись у подальшому шляхом утворення хелатних сполук, а потім виводиться з фекаліями.</w:t>
      </w:r>
    </w:p>
    <w:p w14:paraId="7B92C90F"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 Клінічні особливості</w:t>
      </w:r>
    </w:p>
    <w:p w14:paraId="49383CEF"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5.1 Вид тварин</w:t>
      </w:r>
    </w:p>
    <w:p w14:paraId="2505EF28" w14:textId="77777777" w:rsidR="00700816" w:rsidRPr="002C2C86" w:rsidRDefault="00700816" w:rsidP="00700816">
      <w:pPr>
        <w:ind w:firstLine="567"/>
        <w:jc w:val="both"/>
        <w:rPr>
          <w:bdr w:val="none" w:sz="0" w:space="0" w:color="auto" w:frame="1"/>
          <w:lang w:val="uk-UA"/>
        </w:rPr>
      </w:pPr>
      <w:r w:rsidRPr="002C2C86">
        <w:rPr>
          <w:bdr w:val="none" w:sz="0" w:space="0" w:color="auto" w:frame="1"/>
          <w:lang w:val="uk-UA"/>
        </w:rPr>
        <w:t>Велика рогата худоба (телята віком до 3-х місяців), свині, кури (бройлери, ремонтний молодняк, батьківські пари) та індики.</w:t>
      </w:r>
    </w:p>
    <w:p w14:paraId="7AF62441" w14:textId="77777777" w:rsidR="00D71CF8" w:rsidRPr="002C2C86" w:rsidRDefault="00D71CF8" w:rsidP="00D71CF8">
      <w:pPr>
        <w:ind w:firstLine="567"/>
        <w:jc w:val="both"/>
        <w:rPr>
          <w:b/>
          <w:bdr w:val="none" w:sz="0" w:space="0" w:color="auto" w:frame="1"/>
          <w:lang w:val="uk-UA"/>
        </w:rPr>
      </w:pPr>
      <w:r w:rsidRPr="002C2C86">
        <w:rPr>
          <w:b/>
          <w:bdr w:val="none" w:sz="0" w:space="0" w:color="auto" w:frame="1"/>
          <w:lang w:val="uk-UA"/>
        </w:rPr>
        <w:t>5.2 Показання до застосування</w:t>
      </w:r>
    </w:p>
    <w:p w14:paraId="2844EB3B" w14:textId="77777777" w:rsidR="008D6848" w:rsidRPr="002C2C86" w:rsidRDefault="008D6848" w:rsidP="008D6848">
      <w:pPr>
        <w:ind w:firstLine="567"/>
        <w:jc w:val="both"/>
        <w:rPr>
          <w:bdr w:val="none" w:sz="0" w:space="0" w:color="auto" w:frame="1"/>
          <w:lang w:val="uk-UA" w:eastAsia="uk-UA"/>
        </w:rPr>
      </w:pPr>
      <w:r w:rsidRPr="002C2C86">
        <w:rPr>
          <w:bdr w:val="none" w:sz="0" w:space="0" w:color="auto" w:frame="1"/>
          <w:lang w:val="uk-UA" w:eastAsia="uk-UA"/>
        </w:rPr>
        <w:t>Телята (віком до 3-х місяців): лікування тварин за захворювань органів дихання, що спричинені мікроорганізмами (</w:t>
      </w:r>
      <w:r w:rsidRPr="002C2C86">
        <w:rPr>
          <w:i/>
          <w:iCs/>
          <w:bdr w:val="none" w:sz="0" w:space="0" w:color="auto" w:frame="1"/>
          <w:lang w:eastAsia="uk-UA"/>
        </w:rPr>
        <w:t>Mycoplasma</w:t>
      </w:r>
      <w:r w:rsidRPr="002C2C86">
        <w:rPr>
          <w:i/>
          <w:iCs/>
          <w:bdr w:val="none" w:sz="0" w:space="0" w:color="auto" w:frame="1"/>
          <w:lang w:val="uk-UA" w:eastAsia="uk-UA"/>
        </w:rPr>
        <w:t xml:space="preserve"> </w:t>
      </w:r>
      <w:r w:rsidRPr="002C2C86">
        <w:rPr>
          <w:i/>
          <w:iCs/>
          <w:bdr w:val="none" w:sz="0" w:space="0" w:color="auto" w:frame="1"/>
          <w:lang w:eastAsia="uk-UA"/>
        </w:rPr>
        <w:t>bovis</w:t>
      </w:r>
      <w:r w:rsidRPr="002C2C86">
        <w:rPr>
          <w:i/>
          <w:iCs/>
          <w:bdr w:val="none" w:sz="0" w:space="0" w:color="auto" w:frame="1"/>
          <w:lang w:val="uk-UA" w:eastAsia="uk-UA"/>
        </w:rPr>
        <w:t xml:space="preserve">, </w:t>
      </w:r>
      <w:r w:rsidRPr="002C2C86">
        <w:rPr>
          <w:i/>
          <w:iCs/>
          <w:bdr w:val="none" w:sz="0" w:space="0" w:color="auto" w:frame="1"/>
          <w:lang w:eastAsia="uk-UA"/>
        </w:rPr>
        <w:t>M</w:t>
      </w:r>
      <w:r w:rsidRPr="002C2C86">
        <w:rPr>
          <w:i/>
          <w:iCs/>
          <w:bdr w:val="none" w:sz="0" w:space="0" w:color="auto" w:frame="1"/>
          <w:lang w:val="uk-UA" w:eastAsia="uk-UA"/>
        </w:rPr>
        <w:t xml:space="preserve">. </w:t>
      </w:r>
      <w:r w:rsidRPr="002C2C86">
        <w:rPr>
          <w:i/>
          <w:iCs/>
          <w:bdr w:val="none" w:sz="0" w:space="0" w:color="auto" w:frame="1"/>
          <w:lang w:eastAsia="uk-UA"/>
        </w:rPr>
        <w:t>dispar</w:t>
      </w:r>
      <w:r w:rsidRPr="002C2C86">
        <w:rPr>
          <w:i/>
          <w:iCs/>
          <w:bdr w:val="none" w:sz="0" w:space="0" w:color="auto" w:frame="1"/>
          <w:lang w:val="uk-UA" w:eastAsia="uk-UA"/>
        </w:rPr>
        <w:t xml:space="preserve">, </w:t>
      </w:r>
      <w:r w:rsidRPr="002C2C86">
        <w:rPr>
          <w:i/>
          <w:iCs/>
          <w:bdr w:val="none" w:sz="0" w:space="0" w:color="auto" w:frame="1"/>
          <w:lang w:eastAsia="uk-UA"/>
        </w:rPr>
        <w:t>Pasteurella</w:t>
      </w:r>
      <w:r w:rsidRPr="002C2C86">
        <w:rPr>
          <w:i/>
          <w:iCs/>
          <w:bdr w:val="none" w:sz="0" w:space="0" w:color="auto" w:frame="1"/>
          <w:lang w:val="uk-UA" w:eastAsia="uk-UA"/>
        </w:rPr>
        <w:t xml:space="preserve"> </w:t>
      </w:r>
      <w:r w:rsidRPr="002C2C86">
        <w:rPr>
          <w:i/>
          <w:iCs/>
          <w:bdr w:val="none" w:sz="0" w:space="0" w:color="auto" w:frame="1"/>
          <w:lang w:eastAsia="uk-UA"/>
        </w:rPr>
        <w:t>multocida</w:t>
      </w:r>
      <w:r w:rsidRPr="002C2C86">
        <w:rPr>
          <w:i/>
          <w:iCs/>
          <w:bdr w:val="none" w:sz="0" w:space="0" w:color="auto" w:frame="1"/>
          <w:lang w:val="uk-UA" w:eastAsia="uk-UA"/>
        </w:rPr>
        <w:t xml:space="preserve">, </w:t>
      </w:r>
      <w:r w:rsidRPr="002C2C86">
        <w:rPr>
          <w:i/>
          <w:iCs/>
          <w:bdr w:val="none" w:sz="0" w:space="0" w:color="auto" w:frame="1"/>
          <w:lang w:eastAsia="uk-UA"/>
        </w:rPr>
        <w:t>P</w:t>
      </w:r>
      <w:r w:rsidRPr="002C2C86">
        <w:rPr>
          <w:i/>
          <w:iCs/>
          <w:bdr w:val="none" w:sz="0" w:space="0" w:color="auto" w:frame="1"/>
          <w:lang w:val="uk-UA" w:eastAsia="uk-UA"/>
        </w:rPr>
        <w:t xml:space="preserve">. </w:t>
      </w:r>
      <w:r w:rsidRPr="002C2C86">
        <w:rPr>
          <w:i/>
          <w:iCs/>
          <w:bdr w:val="none" w:sz="0" w:space="0" w:color="auto" w:frame="1"/>
          <w:lang w:eastAsia="uk-UA"/>
        </w:rPr>
        <w:t>Haemolytica</w:t>
      </w:r>
      <w:r w:rsidRPr="002C2C86">
        <w:rPr>
          <w:i/>
          <w:iCs/>
          <w:bdr w:val="none" w:sz="0" w:space="0" w:color="auto" w:frame="1"/>
          <w:lang w:val="uk-UA" w:eastAsia="uk-UA"/>
        </w:rPr>
        <w:t>)</w:t>
      </w:r>
      <w:r w:rsidRPr="002C2C86">
        <w:rPr>
          <w:bdr w:val="none" w:sz="0" w:space="0" w:color="auto" w:frame="1"/>
          <w:lang w:val="uk-UA" w:eastAsia="uk-UA"/>
        </w:rPr>
        <w:t>, чутливими до тилмікозину.</w:t>
      </w:r>
    </w:p>
    <w:p w14:paraId="7700ED47" w14:textId="77777777" w:rsidR="008D6848" w:rsidRPr="002C2C86" w:rsidRDefault="008D6848" w:rsidP="008D6848">
      <w:pPr>
        <w:ind w:firstLine="567"/>
        <w:jc w:val="both"/>
        <w:rPr>
          <w:bdr w:val="none" w:sz="0" w:space="0" w:color="auto" w:frame="1"/>
          <w:lang w:val="uk-UA" w:eastAsia="uk-UA"/>
        </w:rPr>
      </w:pPr>
      <w:r w:rsidRPr="002C2C86">
        <w:rPr>
          <w:bdr w:val="none" w:sz="0" w:space="0" w:color="auto" w:frame="1"/>
          <w:lang w:val="uk-UA" w:eastAsia="uk-UA"/>
        </w:rPr>
        <w:t>Свині: лікування тварин за захворювань органів дихання</w:t>
      </w:r>
      <w:r w:rsidRPr="002C2C86">
        <w:rPr>
          <w:bCs/>
          <w:iCs/>
          <w:bdr w:val="none" w:sz="0" w:space="0" w:color="auto" w:frame="1"/>
          <w:lang w:val="uk-UA" w:eastAsia="uk-UA"/>
        </w:rPr>
        <w:t>,</w:t>
      </w:r>
      <w:r w:rsidRPr="002C2C86">
        <w:rPr>
          <w:bdr w:val="none" w:sz="0" w:space="0" w:color="auto" w:frame="1"/>
          <w:lang w:val="uk-UA" w:eastAsia="uk-UA"/>
        </w:rPr>
        <w:t>що спричинені мікроорганізмами</w:t>
      </w:r>
      <w:r w:rsidRPr="002C2C86">
        <w:rPr>
          <w:i/>
          <w:iCs/>
          <w:bdr w:val="none" w:sz="0" w:space="0" w:color="auto" w:frame="1"/>
          <w:lang w:val="uk-UA" w:eastAsia="uk-UA"/>
        </w:rPr>
        <w:t xml:space="preserve"> (</w:t>
      </w:r>
      <w:r w:rsidRPr="002C2C86">
        <w:rPr>
          <w:i/>
          <w:iCs/>
          <w:bdr w:val="none" w:sz="0" w:space="0" w:color="auto" w:frame="1"/>
          <w:lang w:eastAsia="uk-UA"/>
        </w:rPr>
        <w:t>Mycoplasma</w:t>
      </w:r>
      <w:r w:rsidRPr="002C2C86">
        <w:rPr>
          <w:i/>
          <w:iCs/>
          <w:bdr w:val="none" w:sz="0" w:space="0" w:color="auto" w:frame="1"/>
          <w:lang w:val="uk-UA" w:eastAsia="uk-UA"/>
        </w:rPr>
        <w:t xml:space="preserve"> </w:t>
      </w:r>
      <w:r w:rsidRPr="002C2C86">
        <w:rPr>
          <w:i/>
          <w:iCs/>
          <w:bdr w:val="none" w:sz="0" w:space="0" w:color="auto" w:frame="1"/>
          <w:lang w:eastAsia="uk-UA"/>
        </w:rPr>
        <w:t>hyopneumoniae</w:t>
      </w:r>
      <w:r w:rsidRPr="002C2C86">
        <w:rPr>
          <w:i/>
          <w:iCs/>
          <w:bdr w:val="none" w:sz="0" w:space="0" w:color="auto" w:frame="1"/>
          <w:lang w:val="uk-UA" w:eastAsia="uk-UA"/>
        </w:rPr>
        <w:t xml:space="preserve">, </w:t>
      </w:r>
      <w:r w:rsidRPr="002C2C86">
        <w:rPr>
          <w:i/>
          <w:iCs/>
          <w:bdr w:val="none" w:sz="0" w:space="0" w:color="auto" w:frame="1"/>
          <w:lang w:eastAsia="uk-UA"/>
        </w:rPr>
        <w:t>Pasteurella</w:t>
      </w:r>
      <w:r w:rsidRPr="002C2C86">
        <w:rPr>
          <w:i/>
          <w:iCs/>
          <w:bdr w:val="none" w:sz="0" w:space="0" w:color="auto" w:frame="1"/>
          <w:lang w:val="uk-UA" w:eastAsia="uk-UA"/>
        </w:rPr>
        <w:t xml:space="preserve"> </w:t>
      </w:r>
      <w:r w:rsidRPr="002C2C86">
        <w:rPr>
          <w:i/>
          <w:iCs/>
          <w:bdr w:val="none" w:sz="0" w:space="0" w:color="auto" w:frame="1"/>
          <w:lang w:eastAsia="uk-UA"/>
        </w:rPr>
        <w:t>multocida</w:t>
      </w:r>
      <w:r w:rsidRPr="002C2C86">
        <w:rPr>
          <w:i/>
          <w:iCs/>
          <w:bdr w:val="none" w:sz="0" w:space="0" w:color="auto" w:frame="1"/>
          <w:lang w:val="uk-UA" w:eastAsia="uk-UA"/>
        </w:rPr>
        <w:t xml:space="preserve">, </w:t>
      </w:r>
      <w:r w:rsidRPr="002C2C86">
        <w:rPr>
          <w:i/>
          <w:iCs/>
          <w:bdr w:val="none" w:sz="0" w:space="0" w:color="auto" w:frame="1"/>
          <w:lang w:eastAsia="uk-UA"/>
        </w:rPr>
        <w:t>Actinobacillus</w:t>
      </w:r>
      <w:r w:rsidRPr="002C2C86">
        <w:rPr>
          <w:i/>
          <w:iCs/>
          <w:bdr w:val="none" w:sz="0" w:space="0" w:color="auto" w:frame="1"/>
          <w:lang w:val="uk-UA" w:eastAsia="uk-UA"/>
        </w:rPr>
        <w:t xml:space="preserve"> </w:t>
      </w:r>
      <w:r w:rsidRPr="002C2C86">
        <w:rPr>
          <w:i/>
          <w:iCs/>
          <w:bdr w:val="none" w:sz="0" w:space="0" w:color="auto" w:frame="1"/>
          <w:lang w:eastAsia="uk-UA"/>
        </w:rPr>
        <w:t>pleuropneumoniae</w:t>
      </w:r>
      <w:r w:rsidRPr="002C2C86">
        <w:rPr>
          <w:bdr w:val="none" w:sz="0" w:space="0" w:color="auto" w:frame="1"/>
          <w:lang w:val="uk-UA" w:eastAsia="uk-UA"/>
        </w:rPr>
        <w:t>), чутливими до тилмікозину.</w:t>
      </w:r>
    </w:p>
    <w:p w14:paraId="731A95D5" w14:textId="1C087DFC" w:rsidR="00700816" w:rsidRPr="002C2C86" w:rsidRDefault="008D6848" w:rsidP="008D6848">
      <w:pPr>
        <w:ind w:firstLine="567"/>
        <w:jc w:val="both"/>
        <w:rPr>
          <w:bdr w:val="none" w:sz="0" w:space="0" w:color="auto" w:frame="1"/>
          <w:lang w:val="uk-UA" w:eastAsia="uk-UA"/>
        </w:rPr>
      </w:pPr>
      <w:r w:rsidRPr="002C2C86">
        <w:rPr>
          <w:bdr w:val="none" w:sz="0" w:space="0" w:color="auto" w:frame="1"/>
          <w:lang w:val="uk-UA" w:eastAsia="uk-UA"/>
        </w:rPr>
        <w:t>Кури (курчата, бройлери, ремонтний молодняк, батьківські пари) та індики: лікування птиці за захворювань органів дихання, що спричинені мікроорганізмами</w:t>
      </w:r>
      <w:r w:rsidRPr="002C2C86">
        <w:rPr>
          <w:i/>
          <w:iCs/>
          <w:bdr w:val="none" w:sz="0" w:space="0" w:color="auto" w:frame="1"/>
          <w:lang w:val="uk-UA" w:eastAsia="uk-UA"/>
        </w:rPr>
        <w:t xml:space="preserve"> (</w:t>
      </w:r>
      <w:r w:rsidRPr="002C2C86">
        <w:rPr>
          <w:i/>
          <w:iCs/>
          <w:bdr w:val="none" w:sz="0" w:space="0" w:color="auto" w:frame="1"/>
          <w:lang w:eastAsia="uk-UA"/>
        </w:rPr>
        <w:t>Mycoplasma</w:t>
      </w:r>
      <w:r w:rsidRPr="002C2C86">
        <w:rPr>
          <w:i/>
          <w:iCs/>
          <w:bdr w:val="none" w:sz="0" w:space="0" w:color="auto" w:frame="1"/>
          <w:lang w:val="uk-UA" w:eastAsia="uk-UA"/>
        </w:rPr>
        <w:t xml:space="preserve"> </w:t>
      </w:r>
      <w:r w:rsidRPr="002C2C86">
        <w:rPr>
          <w:i/>
          <w:iCs/>
          <w:bdr w:val="none" w:sz="0" w:space="0" w:color="auto" w:frame="1"/>
          <w:lang w:eastAsia="uk-UA"/>
        </w:rPr>
        <w:t>gallisepticum</w:t>
      </w:r>
      <w:r w:rsidRPr="002C2C86">
        <w:rPr>
          <w:i/>
          <w:iCs/>
          <w:bdr w:val="none" w:sz="0" w:space="0" w:color="auto" w:frame="1"/>
          <w:lang w:val="uk-UA" w:eastAsia="uk-UA"/>
        </w:rPr>
        <w:t xml:space="preserve">, </w:t>
      </w:r>
      <w:r w:rsidRPr="002C2C86">
        <w:rPr>
          <w:i/>
          <w:iCs/>
          <w:bdr w:val="none" w:sz="0" w:space="0" w:color="auto" w:frame="1"/>
          <w:lang w:eastAsia="uk-UA"/>
        </w:rPr>
        <w:t>M</w:t>
      </w:r>
      <w:r w:rsidRPr="002C2C86">
        <w:rPr>
          <w:i/>
          <w:iCs/>
          <w:bdr w:val="none" w:sz="0" w:space="0" w:color="auto" w:frame="1"/>
          <w:lang w:val="uk-UA" w:eastAsia="uk-UA"/>
        </w:rPr>
        <w:t xml:space="preserve">. </w:t>
      </w:r>
      <w:r w:rsidRPr="002C2C86">
        <w:rPr>
          <w:i/>
          <w:iCs/>
          <w:bdr w:val="none" w:sz="0" w:space="0" w:color="auto" w:frame="1"/>
          <w:lang w:eastAsia="uk-UA"/>
        </w:rPr>
        <w:t>synoviae</w:t>
      </w:r>
      <w:r w:rsidRPr="002C2C86">
        <w:rPr>
          <w:bdr w:val="none" w:sz="0" w:space="0" w:color="auto" w:frame="1"/>
          <w:lang w:val="uk-UA" w:eastAsia="uk-UA"/>
        </w:rPr>
        <w:t xml:space="preserve">, </w:t>
      </w:r>
      <w:r w:rsidRPr="002C2C86">
        <w:rPr>
          <w:i/>
          <w:bdr w:val="none" w:sz="0" w:space="0" w:color="auto" w:frame="1"/>
          <w:lang w:val="en-US" w:eastAsia="uk-UA"/>
        </w:rPr>
        <w:t>M</w:t>
      </w:r>
      <w:r w:rsidRPr="002C2C86">
        <w:rPr>
          <w:i/>
          <w:bdr w:val="none" w:sz="0" w:space="0" w:color="auto" w:frame="1"/>
          <w:lang w:val="uk-UA" w:eastAsia="uk-UA"/>
        </w:rPr>
        <w:t xml:space="preserve">. </w:t>
      </w:r>
      <w:r w:rsidRPr="002C2C86">
        <w:rPr>
          <w:i/>
          <w:bdr w:val="none" w:sz="0" w:space="0" w:color="auto" w:frame="1"/>
          <w:lang w:val="en-US" w:eastAsia="uk-UA"/>
        </w:rPr>
        <w:t>meleagridis</w:t>
      </w:r>
      <w:r w:rsidRPr="002C2C86">
        <w:rPr>
          <w:i/>
          <w:bdr w:val="none" w:sz="0" w:space="0" w:color="auto" w:frame="1"/>
          <w:lang w:val="uk-UA" w:eastAsia="uk-UA"/>
        </w:rPr>
        <w:t xml:space="preserve">, </w:t>
      </w:r>
      <w:r w:rsidRPr="002C2C86">
        <w:rPr>
          <w:i/>
          <w:bdr w:val="none" w:sz="0" w:space="0" w:color="auto" w:frame="1"/>
          <w:lang w:val="en-US" w:eastAsia="uk-UA"/>
        </w:rPr>
        <w:t>Ornithobacterium</w:t>
      </w:r>
      <w:r w:rsidRPr="002C2C86">
        <w:rPr>
          <w:i/>
          <w:bdr w:val="none" w:sz="0" w:space="0" w:color="auto" w:frame="1"/>
          <w:lang w:val="uk-UA" w:eastAsia="uk-UA"/>
        </w:rPr>
        <w:t xml:space="preserve"> </w:t>
      </w:r>
      <w:r w:rsidRPr="002C2C86">
        <w:rPr>
          <w:i/>
          <w:bdr w:val="none" w:sz="0" w:space="0" w:color="auto" w:frame="1"/>
          <w:lang w:val="en-US" w:eastAsia="uk-UA"/>
        </w:rPr>
        <w:t>rhinotrachealae</w:t>
      </w:r>
      <w:r w:rsidRPr="002C2C86">
        <w:rPr>
          <w:i/>
          <w:bdr w:val="none" w:sz="0" w:space="0" w:color="auto" w:frame="1"/>
          <w:lang w:val="uk-UA" w:eastAsia="uk-UA"/>
        </w:rPr>
        <w:t>,</w:t>
      </w:r>
      <w:r w:rsidRPr="002C2C86">
        <w:rPr>
          <w:bdr w:val="none" w:sz="0" w:space="0" w:color="auto" w:frame="1"/>
          <w:lang w:val="uk-UA" w:eastAsia="uk-UA"/>
        </w:rPr>
        <w:t xml:space="preserve"> </w:t>
      </w:r>
      <w:r w:rsidRPr="002C2C86">
        <w:rPr>
          <w:i/>
          <w:iCs/>
          <w:bdr w:val="none" w:sz="0" w:space="0" w:color="auto" w:frame="1"/>
          <w:lang w:eastAsia="uk-UA"/>
        </w:rPr>
        <w:t>Pasteurella</w:t>
      </w:r>
      <w:r w:rsidRPr="002C2C86">
        <w:rPr>
          <w:i/>
          <w:iCs/>
          <w:bdr w:val="none" w:sz="0" w:space="0" w:color="auto" w:frame="1"/>
          <w:lang w:val="uk-UA" w:eastAsia="uk-UA"/>
        </w:rPr>
        <w:t xml:space="preserve"> </w:t>
      </w:r>
      <w:r w:rsidRPr="002C2C86">
        <w:rPr>
          <w:i/>
          <w:iCs/>
          <w:bdr w:val="none" w:sz="0" w:space="0" w:color="auto" w:frame="1"/>
          <w:lang w:eastAsia="uk-UA"/>
        </w:rPr>
        <w:t>multocida</w:t>
      </w:r>
      <w:r w:rsidRPr="002C2C86">
        <w:rPr>
          <w:i/>
          <w:iCs/>
          <w:bdr w:val="none" w:sz="0" w:space="0" w:color="auto" w:frame="1"/>
          <w:lang w:val="uk-UA" w:eastAsia="uk-UA"/>
        </w:rPr>
        <w:t>)</w:t>
      </w:r>
      <w:r w:rsidRPr="002C2C86">
        <w:rPr>
          <w:bdr w:val="none" w:sz="0" w:space="0" w:color="auto" w:frame="1"/>
          <w:lang w:val="uk-UA" w:eastAsia="uk-UA"/>
        </w:rPr>
        <w:t>, чутливими до тилмікозину</w:t>
      </w:r>
      <w:r w:rsidR="00700816" w:rsidRPr="002C2C86">
        <w:rPr>
          <w:bdr w:val="none" w:sz="0" w:space="0" w:color="auto" w:frame="1"/>
          <w:lang w:val="uk-UA" w:eastAsia="uk-UA"/>
        </w:rPr>
        <w:t>.</w:t>
      </w:r>
    </w:p>
    <w:p w14:paraId="31C98689" w14:textId="77777777" w:rsidR="00D71CF8" w:rsidRPr="002C2C86" w:rsidRDefault="00D71CF8" w:rsidP="00D71CF8">
      <w:pPr>
        <w:ind w:firstLine="567"/>
        <w:jc w:val="both"/>
        <w:rPr>
          <w:bdr w:val="none" w:sz="0" w:space="0" w:color="auto" w:frame="1"/>
          <w:lang w:val="uk-UA"/>
        </w:rPr>
      </w:pPr>
      <w:r w:rsidRPr="002C2C86">
        <w:rPr>
          <w:b/>
          <w:bCs/>
          <w:bdr w:val="none" w:sz="0" w:space="0" w:color="auto" w:frame="1"/>
          <w:lang w:val="uk-UA" w:eastAsia="uk-UA"/>
        </w:rPr>
        <w:t>5.3 Протипоказання</w:t>
      </w:r>
    </w:p>
    <w:p w14:paraId="40E6DDD5"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val="uk-UA" w:eastAsia="uk-UA"/>
        </w:rPr>
        <w:t xml:space="preserve">Препарат не застосовують тваринам з підвищеною чутливістю до тилмікозину або будь-якої з допоміжних речовин. </w:t>
      </w:r>
    </w:p>
    <w:p w14:paraId="73D90752"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val="uk-UA" w:eastAsia="uk-UA"/>
        </w:rPr>
        <w:t xml:space="preserve">Не застосовувати одночасно з антибіотиками аміноглікозидного ряду через можливість виникнення у тварин побічних ефектів (діарея, парези, нефротоксичні ефекти). </w:t>
      </w:r>
    </w:p>
    <w:p w14:paraId="67FAD7E9"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val="uk-UA" w:eastAsia="uk-UA"/>
        </w:rPr>
        <w:t>Не застосовувати препарат у суміші з кормом, який містить бентоніт.</w:t>
      </w:r>
    </w:p>
    <w:p w14:paraId="1D3A010E"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eastAsia="uk-UA"/>
        </w:rPr>
        <w:t xml:space="preserve">Не застосовувати </w:t>
      </w:r>
      <w:r w:rsidRPr="002C2C86">
        <w:rPr>
          <w:bdr w:val="none" w:sz="0" w:space="0" w:color="auto" w:frame="1"/>
          <w:lang w:val="uk-UA" w:eastAsia="uk-UA"/>
        </w:rPr>
        <w:t>тваринам</w:t>
      </w:r>
      <w:r w:rsidRPr="002C2C86">
        <w:rPr>
          <w:bdr w:val="none" w:sz="0" w:space="0" w:color="auto" w:frame="1"/>
          <w:lang w:eastAsia="uk-UA"/>
        </w:rPr>
        <w:t>, яйця яких використову</w:t>
      </w:r>
      <w:r w:rsidRPr="002C2C86">
        <w:rPr>
          <w:bdr w:val="none" w:sz="0" w:space="0" w:color="auto" w:frame="1"/>
          <w:lang w:val="uk-UA" w:eastAsia="uk-UA"/>
        </w:rPr>
        <w:t>ють</w:t>
      </w:r>
      <w:r w:rsidRPr="002C2C86">
        <w:rPr>
          <w:bdr w:val="none" w:sz="0" w:space="0" w:color="auto" w:frame="1"/>
          <w:lang w:eastAsia="uk-UA"/>
        </w:rPr>
        <w:t xml:space="preserve"> для споживання люд</w:t>
      </w:r>
      <w:r w:rsidRPr="002C2C86">
        <w:rPr>
          <w:bdr w:val="none" w:sz="0" w:space="0" w:color="auto" w:frame="1"/>
          <w:lang w:val="uk-UA" w:eastAsia="uk-UA"/>
        </w:rPr>
        <w:t>ям</w:t>
      </w:r>
      <w:r w:rsidRPr="002C2C86">
        <w:rPr>
          <w:bdr w:val="none" w:sz="0" w:space="0" w:color="auto" w:frame="1"/>
          <w:lang w:eastAsia="uk-UA"/>
        </w:rPr>
        <w:t>.</w:t>
      </w:r>
      <w:r w:rsidRPr="002C2C86">
        <w:rPr>
          <w:bdr w:val="none" w:sz="0" w:space="0" w:color="auto" w:frame="1"/>
          <w:lang w:val="uk-UA" w:eastAsia="uk-UA"/>
        </w:rPr>
        <w:t xml:space="preserve"> </w:t>
      </w:r>
    </w:p>
    <w:p w14:paraId="55472FC8"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val="uk-UA" w:eastAsia="uk-UA"/>
        </w:rPr>
        <w:t>Не застосовувати жуйним тваринам з функціонально розвиненими передшлунками.</w:t>
      </w:r>
    </w:p>
    <w:p w14:paraId="2700E041" w14:textId="77777777" w:rsidR="00700816" w:rsidRPr="002C2C86" w:rsidRDefault="00700816" w:rsidP="00700816">
      <w:pPr>
        <w:ind w:firstLine="567"/>
        <w:jc w:val="both"/>
        <w:rPr>
          <w:bdr w:val="none" w:sz="0" w:space="0" w:color="auto" w:frame="1"/>
          <w:lang w:val="uk-UA" w:eastAsia="uk-UA"/>
        </w:rPr>
      </w:pPr>
      <w:r w:rsidRPr="002C2C86">
        <w:rPr>
          <w:bdr w:val="none" w:sz="0" w:space="0" w:color="auto" w:frame="1"/>
          <w:lang w:val="uk-UA" w:eastAsia="uk-UA"/>
        </w:rPr>
        <w:t>Не застосовувати коням та іншим непарнокопитним.</w:t>
      </w:r>
    </w:p>
    <w:p w14:paraId="7172E9BB"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5.4 Побічна дія</w:t>
      </w:r>
    </w:p>
    <w:p w14:paraId="1AF86989" w14:textId="77777777" w:rsidR="00700816" w:rsidRPr="002C2C86" w:rsidRDefault="00700816" w:rsidP="00700816">
      <w:pPr>
        <w:ind w:firstLine="567"/>
        <w:jc w:val="both"/>
        <w:rPr>
          <w:rFonts w:eastAsiaTheme="minorHAnsi" w:cs="Courier New"/>
          <w:snapToGrid w:val="0"/>
          <w:kern w:val="2"/>
          <w:lang w:eastAsia="x-none"/>
          <w14:ligatures w14:val="standardContextual"/>
        </w:rPr>
      </w:pPr>
      <w:r w:rsidRPr="002C2C86">
        <w:rPr>
          <w:rFonts w:eastAsiaTheme="minorHAnsi" w:cs="Courier New"/>
          <w:snapToGrid w:val="0"/>
          <w:kern w:val="2"/>
          <w:lang w:val="uk-UA" w:eastAsia="x-none"/>
          <w14:ligatures w14:val="standardContextual"/>
        </w:rPr>
        <w:t>В окремих випадках (у чутливих до компонентів препарату тварин) можливі алергічні явища (висипка на шкірі, свербіж та набряки), в дуже рідкісних випадках спостерігалось зниження споживання води. За</w:t>
      </w:r>
      <w:r w:rsidRPr="002C2C86">
        <w:rPr>
          <w:rFonts w:eastAsiaTheme="minorHAnsi" w:cs="Courier New"/>
          <w:snapToGrid w:val="0"/>
          <w:kern w:val="2"/>
          <w:lang w:eastAsia="x-none"/>
          <w14:ligatures w14:val="standardContextual"/>
        </w:rPr>
        <w:t xml:space="preserve"> їх виникненні застосування препарату припиняють та призначають десенсибілізуючу терапію.</w:t>
      </w:r>
    </w:p>
    <w:p w14:paraId="4C669A24"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5.5 Особливі застереження при використанні</w:t>
      </w:r>
    </w:p>
    <w:p w14:paraId="2224B194"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r w:rsidRPr="002C2C86">
        <w:rPr>
          <w:rFonts w:eastAsiaTheme="minorHAnsi" w:cs="Courier New"/>
          <w:snapToGrid w:val="0"/>
          <w:kern w:val="2"/>
          <w:lang w:val="uk-UA" w:eastAsia="x-none"/>
          <w14:ligatures w14:val="standardContextual"/>
        </w:rPr>
        <w:t>Використання препарату має ґрунтуватися на дослідженні чутливості мікроорганізмів- збудників захворювання до тилмікозину та з урахуванням місцевих рекомендацій.</w:t>
      </w:r>
    </w:p>
    <w:p w14:paraId="74BD4910"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r w:rsidRPr="002C2C86">
        <w:rPr>
          <w:rFonts w:eastAsiaTheme="minorHAnsi" w:cs="Courier New"/>
          <w:snapToGrid w:val="0"/>
          <w:kern w:val="2"/>
          <w:lang w:val="uk-UA" w:eastAsia="x-none"/>
          <w14:ligatures w14:val="standardContextual"/>
        </w:rPr>
        <w:t>Використання ветеринарного лікарського засобу з відхиленням від інструкцій, наведених у ЛВ, може збільшити поширеність бактерій, стійких до тилмікозину та знизити ефективність лікування іншими макролідами, лінкозамідами та стрептограміном В через потенційну перехресну резистентність. Слід контролювати споживання води у свиней та птиці, щоб гарантувати адекватне дозування. У випадку, якщо споживання води не відповідає кількості, для якої була розрахована рекомендована доза, концентрація цього ветеринарного лікарського засобу повинна бути адаптована таким чином, щоб тварини отримувала рекомендовану дозу, або слід розглянути застосування іншого препарату.</w:t>
      </w:r>
    </w:p>
    <w:p w14:paraId="2C9ECBB5"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5.6 Використання під час вагітності, лактації, несучості</w:t>
      </w:r>
    </w:p>
    <w:p w14:paraId="773C7986"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r w:rsidRPr="002C2C86">
        <w:rPr>
          <w:rFonts w:eastAsiaTheme="minorHAnsi" w:cs="Courier New"/>
          <w:snapToGrid w:val="0"/>
          <w:kern w:val="2"/>
          <w:lang w:val="uk-UA" w:eastAsia="x-none"/>
          <w14:ligatures w14:val="standardContextual"/>
        </w:rPr>
        <w:t>Безпека ветеринарного лікарського засобу під час вагітності та лактації не встановлена. Препарат використовують лише відповідно до оцінки співвідношення користь/ризик лікарем ветеринарної медицини.</w:t>
      </w:r>
    </w:p>
    <w:p w14:paraId="1F6E0BB6"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p>
    <w:p w14:paraId="09A5DF91"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p>
    <w:p w14:paraId="7A71D1BD" w14:textId="77777777" w:rsidR="00700816" w:rsidRPr="002C2C86" w:rsidRDefault="00700816" w:rsidP="00700816">
      <w:pPr>
        <w:ind w:firstLine="567"/>
        <w:jc w:val="both"/>
        <w:rPr>
          <w:rFonts w:eastAsiaTheme="minorHAnsi" w:cs="Courier New"/>
          <w:snapToGrid w:val="0"/>
          <w:kern w:val="2"/>
          <w:lang w:val="uk-UA" w:eastAsia="x-none"/>
          <w14:ligatures w14:val="standardContextual"/>
        </w:rPr>
      </w:pPr>
    </w:p>
    <w:p w14:paraId="716EDBCE" w14:textId="77777777" w:rsidR="00D71CF8" w:rsidRPr="002C2C86" w:rsidRDefault="00D71CF8" w:rsidP="00D71CF8">
      <w:pPr>
        <w:ind w:firstLine="567"/>
        <w:jc w:val="both"/>
        <w:rPr>
          <w:lang w:val="uk-UA"/>
        </w:rPr>
      </w:pPr>
      <w:r w:rsidRPr="002C2C86">
        <w:rPr>
          <w:b/>
          <w:bCs/>
          <w:bdr w:val="none" w:sz="0" w:space="0" w:color="auto" w:frame="1"/>
          <w:lang w:val="uk-UA"/>
        </w:rPr>
        <w:lastRenderedPageBreak/>
        <w:t>5.7 Взаємодія з іншими засобами або інші форми взаємодії</w:t>
      </w:r>
    </w:p>
    <w:p w14:paraId="7F4F9A18" w14:textId="77777777" w:rsidR="00700816" w:rsidRPr="002C2C86" w:rsidRDefault="00700816" w:rsidP="00700816">
      <w:pPr>
        <w:ind w:firstLine="567"/>
        <w:jc w:val="both"/>
        <w:rPr>
          <w:bdr w:val="none" w:sz="0" w:space="0" w:color="auto" w:frame="1"/>
          <w:lang w:val="uk-UA"/>
        </w:rPr>
      </w:pPr>
      <w:r w:rsidRPr="002C2C86">
        <w:rPr>
          <w:bdr w:val="none" w:sz="0" w:space="0" w:color="auto" w:frame="1"/>
          <w:lang w:val="uk-UA"/>
        </w:rPr>
        <w:t>За одночасного застосування із іншими макролідами та лінкоміцином може спостерігатись перехресна резистентність. Не застосовувати препарат у суміші з кормом, який містить бентоніти, так як вони можуть знижувати ефективність тилмікозину.</w:t>
      </w:r>
    </w:p>
    <w:p w14:paraId="47DFFDD4"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5.8 Дози і способи введення тваринам різного віку</w:t>
      </w:r>
    </w:p>
    <w:p w14:paraId="4A448805" w14:textId="77777777" w:rsidR="00983167" w:rsidRPr="002C2C86" w:rsidRDefault="00983167" w:rsidP="00983167">
      <w:pPr>
        <w:ind w:firstLine="567"/>
        <w:jc w:val="both"/>
      </w:pPr>
      <w:r w:rsidRPr="002C2C86">
        <w:t>Перорально з питною водою:</w:t>
      </w:r>
    </w:p>
    <w:p w14:paraId="4223142A" w14:textId="77777777" w:rsidR="00983167" w:rsidRPr="002C2C86" w:rsidRDefault="00983167" w:rsidP="00983167">
      <w:pPr>
        <w:ind w:firstLine="567"/>
        <w:jc w:val="both"/>
      </w:pPr>
      <w:r w:rsidRPr="002C2C86">
        <w:t xml:space="preserve">телята (віком до 3-х місяців) – 1 мл препарату на 20 кг маси тіла </w:t>
      </w:r>
      <w:r w:rsidRPr="002C2C86">
        <w:rPr>
          <w:lang w:val="uk-UA"/>
        </w:rPr>
        <w:t xml:space="preserve">(що еквівалентно </w:t>
      </w:r>
      <w:r w:rsidRPr="002C2C86">
        <w:t xml:space="preserve">12,5 мг тилмікозину на 1 кг маси </w:t>
      </w:r>
      <w:r w:rsidRPr="002C2C86">
        <w:rPr>
          <w:lang w:val="uk-UA"/>
        </w:rPr>
        <w:t xml:space="preserve">тіла) </w:t>
      </w:r>
      <w:r w:rsidRPr="002C2C86">
        <w:t>двічі на добу</w:t>
      </w:r>
      <w:r w:rsidRPr="002C2C86">
        <w:rPr>
          <w:lang w:val="uk-UA"/>
        </w:rPr>
        <w:t xml:space="preserve"> </w:t>
      </w:r>
      <w:r w:rsidRPr="002C2C86">
        <w:t>протягом 3 – 5 діб</w:t>
      </w:r>
      <w:r w:rsidRPr="002C2C86">
        <w:rPr>
          <w:lang w:val="uk-UA"/>
        </w:rPr>
        <w:t>, можна застосовувати з замінником молока</w:t>
      </w:r>
      <w:r w:rsidRPr="002C2C86">
        <w:t>;</w:t>
      </w:r>
    </w:p>
    <w:p w14:paraId="56C95BC2" w14:textId="77777777" w:rsidR="00983167" w:rsidRPr="002C2C86" w:rsidRDefault="00983167" w:rsidP="00983167">
      <w:pPr>
        <w:ind w:firstLine="567"/>
        <w:jc w:val="both"/>
      </w:pPr>
      <w:r w:rsidRPr="002C2C86">
        <w:t xml:space="preserve">свині – 80 мл препарату на 100 л питної води </w:t>
      </w:r>
      <w:r w:rsidRPr="002C2C86">
        <w:rPr>
          <w:lang w:val="uk-UA"/>
        </w:rPr>
        <w:t xml:space="preserve">(що еквівалентно </w:t>
      </w:r>
      <w:r w:rsidRPr="002C2C86">
        <w:t>15-20 мг тилмікозину на 1 кг маси тіла) щодобово протягом 5 діб;</w:t>
      </w:r>
    </w:p>
    <w:p w14:paraId="05D20CC7" w14:textId="77777777" w:rsidR="00983167" w:rsidRPr="002C2C86" w:rsidRDefault="00983167" w:rsidP="00983167">
      <w:pPr>
        <w:ind w:firstLine="567"/>
        <w:jc w:val="both"/>
      </w:pPr>
      <w:r w:rsidRPr="002C2C86">
        <w:t>кури (</w:t>
      </w:r>
      <w:r w:rsidRPr="002C2C86">
        <w:rPr>
          <w:lang w:val="uk-UA"/>
        </w:rPr>
        <w:t>бройлери, ремонтний молодняк, батьківські пари</w:t>
      </w:r>
      <w:r w:rsidRPr="002C2C86">
        <w:t xml:space="preserve">) – 30 мл препарату на 100 літрів питної води </w:t>
      </w:r>
      <w:r w:rsidRPr="002C2C86">
        <w:rPr>
          <w:lang w:val="uk-UA"/>
        </w:rPr>
        <w:t>(що еквівалентно</w:t>
      </w:r>
      <w:r w:rsidRPr="002C2C86">
        <w:t xml:space="preserve"> 15-20 мг тилмікозину на 1 кг маси тіла) щодо</w:t>
      </w:r>
      <w:r w:rsidRPr="002C2C86">
        <w:rPr>
          <w:lang w:val="uk-UA"/>
        </w:rPr>
        <w:t>бово</w:t>
      </w:r>
      <w:r w:rsidRPr="002C2C86">
        <w:t>, протягом 3</w:t>
      </w:r>
      <w:r w:rsidRPr="002C2C86">
        <w:rPr>
          <w:lang w:val="uk-UA"/>
        </w:rPr>
        <w:t> </w:t>
      </w:r>
      <w:r w:rsidRPr="002C2C86">
        <w:t>діб;</w:t>
      </w:r>
    </w:p>
    <w:p w14:paraId="25855CD1" w14:textId="7E2C9016" w:rsidR="008D6848" w:rsidRPr="002C2C86" w:rsidRDefault="00983167" w:rsidP="00983167">
      <w:pPr>
        <w:ind w:firstLine="567"/>
        <w:jc w:val="both"/>
        <w:rPr>
          <w:lang w:val="uk-UA"/>
        </w:rPr>
      </w:pPr>
      <w:r w:rsidRPr="002C2C86">
        <w:t xml:space="preserve">індики – 30 мл препарату на 100 л питної води </w:t>
      </w:r>
      <w:r w:rsidRPr="002C2C86">
        <w:rPr>
          <w:lang w:val="uk-UA"/>
        </w:rPr>
        <w:t xml:space="preserve">( що еквівалентно </w:t>
      </w:r>
      <w:r w:rsidRPr="002C2C86">
        <w:t>10-27 мг тилмікозину на 1 кг маси тіла) що</w:t>
      </w:r>
      <w:r w:rsidRPr="002C2C86">
        <w:rPr>
          <w:lang w:val="uk-UA"/>
        </w:rPr>
        <w:t>д</w:t>
      </w:r>
      <w:r w:rsidRPr="002C2C86">
        <w:t>о</w:t>
      </w:r>
      <w:r w:rsidRPr="002C2C86">
        <w:rPr>
          <w:lang w:val="uk-UA"/>
        </w:rPr>
        <w:t>бово</w:t>
      </w:r>
      <w:r w:rsidRPr="002C2C86">
        <w:t>, протягом 3 діб</w:t>
      </w:r>
      <w:r w:rsidR="008D6848" w:rsidRPr="002C2C86">
        <w:rPr>
          <w:lang w:val="uk-UA"/>
        </w:rPr>
        <w:t>.</w:t>
      </w:r>
    </w:p>
    <w:p w14:paraId="7FBB3F1D" w14:textId="77777777" w:rsidR="00D71CF8" w:rsidRPr="002C2C86" w:rsidRDefault="00D71CF8" w:rsidP="00D71CF8">
      <w:pPr>
        <w:jc w:val="both"/>
        <w:rPr>
          <w:b/>
          <w:bCs/>
          <w:bdr w:val="none" w:sz="0" w:space="0" w:color="auto" w:frame="1"/>
        </w:rPr>
      </w:pPr>
      <w:r w:rsidRPr="002C2C86">
        <w:t xml:space="preserve">        </w:t>
      </w:r>
      <w:r w:rsidRPr="002C2C86">
        <w:rPr>
          <w:b/>
          <w:bCs/>
          <w:bdr w:val="none" w:sz="0" w:space="0" w:color="auto" w:frame="1"/>
        </w:rPr>
        <w:t>5.9 Передозування (симптоми, невідкладні заходи, антидоти)</w:t>
      </w:r>
    </w:p>
    <w:p w14:paraId="4D712EC6"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Передозування препарату у великій кількості може вплинути на функціонування серцево-судинної системи тварини.</w:t>
      </w:r>
    </w:p>
    <w:p w14:paraId="09CB93F8" w14:textId="77777777" w:rsidR="00700816" w:rsidRPr="002C2C86" w:rsidRDefault="00D71CF8" w:rsidP="00700816">
      <w:pPr>
        <w:ind w:firstLine="567"/>
        <w:jc w:val="both"/>
        <w:rPr>
          <w:bdr w:val="none" w:sz="0" w:space="0" w:color="auto" w:frame="1"/>
          <w:lang w:val="uk-UA"/>
        </w:rPr>
      </w:pPr>
      <w:r w:rsidRPr="002C2C86">
        <w:rPr>
          <w:bdr w:val="none" w:sz="0" w:space="0" w:color="auto" w:frame="1"/>
          <w:lang w:val="uk-UA"/>
        </w:rPr>
        <w:t>Телята: збільшення дози до 50 мг/кг не при</w:t>
      </w:r>
      <w:r w:rsidR="00700816" w:rsidRPr="002C2C86">
        <w:rPr>
          <w:bdr w:val="none" w:sz="0" w:space="0" w:color="auto" w:frame="1"/>
          <w:lang w:val="uk-UA"/>
        </w:rPr>
        <w:t>з</w:t>
      </w:r>
      <w:r w:rsidRPr="002C2C86">
        <w:rPr>
          <w:bdr w:val="none" w:sz="0" w:space="0" w:color="auto" w:frame="1"/>
          <w:lang w:val="uk-UA"/>
        </w:rPr>
        <w:t xml:space="preserve">водить до смерті. </w:t>
      </w:r>
    </w:p>
    <w:p w14:paraId="7342814B" w14:textId="3B47A113" w:rsidR="00700816" w:rsidRPr="002C2C86" w:rsidRDefault="00700816" w:rsidP="00700816">
      <w:pPr>
        <w:ind w:firstLine="567"/>
        <w:jc w:val="both"/>
        <w:rPr>
          <w:bdr w:val="none" w:sz="0" w:space="0" w:color="auto" w:frame="1"/>
          <w:lang w:val="uk-UA"/>
        </w:rPr>
      </w:pPr>
      <w:r w:rsidRPr="002C2C86">
        <w:rPr>
          <w:bdr w:val="none" w:sz="0" w:space="0" w:color="auto" w:frame="1"/>
          <w:lang w:val="uk-UA"/>
        </w:rPr>
        <w:t xml:space="preserve">Жодних симптомів передозування, окрім незначного зниження споживання молока, не спостерігалося </w:t>
      </w:r>
      <w:r w:rsidR="003D065B" w:rsidRPr="002C2C86">
        <w:rPr>
          <w:bdr w:val="none" w:sz="0" w:space="0" w:color="auto" w:frame="1"/>
          <w:lang w:val="uk-UA"/>
        </w:rPr>
        <w:t>в</w:t>
      </w:r>
      <w:r w:rsidRPr="002C2C86">
        <w:rPr>
          <w:bdr w:val="none" w:sz="0" w:space="0" w:color="auto" w:frame="1"/>
          <w:lang w:val="uk-UA"/>
        </w:rPr>
        <w:t xml:space="preserve"> телят, які отримували двічі на добу дози, що в 5 разів перевищували максимальну рекомендовану дозу, або протягом періоду, що еквівалентний подвійній максимальній рекомендованій тривалості лікування.</w:t>
      </w:r>
    </w:p>
    <w:p w14:paraId="0A1C49DC" w14:textId="0E87CE67" w:rsidR="00D71CF8" w:rsidRPr="002C2C86" w:rsidRDefault="00D71CF8" w:rsidP="00D71CF8">
      <w:pPr>
        <w:ind w:firstLine="567"/>
        <w:jc w:val="both"/>
        <w:rPr>
          <w:bdr w:val="none" w:sz="0" w:space="0" w:color="auto" w:frame="1"/>
          <w:lang w:val="uk-UA"/>
        </w:rPr>
      </w:pPr>
      <w:r w:rsidRPr="002C2C86">
        <w:rPr>
          <w:bdr w:val="none" w:sz="0" w:space="0" w:color="auto" w:frame="1"/>
          <w:lang w:val="uk-UA"/>
        </w:rPr>
        <w:t xml:space="preserve">При збільшенні дози до 150 мг/кг - смертельні випадки </w:t>
      </w:r>
      <w:r w:rsidR="00700816" w:rsidRPr="002C2C86">
        <w:rPr>
          <w:bdr w:val="none" w:sz="0" w:space="0" w:color="auto" w:frame="1"/>
          <w:lang w:val="uk-UA"/>
        </w:rPr>
        <w:t>в</w:t>
      </w:r>
      <w:r w:rsidRPr="002C2C86">
        <w:rPr>
          <w:bdr w:val="none" w:sz="0" w:space="0" w:color="auto" w:frame="1"/>
          <w:lang w:val="uk-UA"/>
        </w:rPr>
        <w:t xml:space="preserve"> більшості тварин.</w:t>
      </w:r>
    </w:p>
    <w:p w14:paraId="7A4A2DEC" w14:textId="0B05F0F4" w:rsidR="00D71CF8" w:rsidRPr="002C2C86" w:rsidRDefault="00D71CF8" w:rsidP="00D71CF8">
      <w:pPr>
        <w:ind w:firstLine="567"/>
        <w:jc w:val="both"/>
        <w:rPr>
          <w:bdr w:val="none" w:sz="0" w:space="0" w:color="auto" w:frame="1"/>
          <w:lang w:val="uk-UA"/>
        </w:rPr>
      </w:pPr>
      <w:r w:rsidRPr="002C2C86">
        <w:rPr>
          <w:bdr w:val="none" w:sz="0" w:space="0" w:color="auto" w:frame="1"/>
          <w:lang w:val="uk-UA"/>
        </w:rPr>
        <w:t>Свині: при збільшенні дози до 25 мг/кг у свиней можуть виникати випадки блювоти і судоми.</w:t>
      </w:r>
      <w:r w:rsidR="00700816" w:rsidRPr="002C2C86">
        <w:rPr>
          <w:bdr w:val="none" w:sz="0" w:space="0" w:color="auto" w:frame="1"/>
          <w:lang w:val="uk-UA"/>
        </w:rPr>
        <w:t xml:space="preserve"> </w:t>
      </w:r>
    </w:p>
    <w:p w14:paraId="01B95EDA" w14:textId="5018A10F" w:rsidR="00700816" w:rsidRPr="002C2C86" w:rsidRDefault="00700816" w:rsidP="00700816">
      <w:pPr>
        <w:ind w:firstLine="567"/>
        <w:jc w:val="both"/>
        <w:rPr>
          <w:bdr w:val="none" w:sz="0" w:space="0" w:color="auto" w:frame="1"/>
          <w:lang w:val="uk-UA"/>
        </w:rPr>
      </w:pPr>
      <w:r w:rsidRPr="002C2C86">
        <w:rPr>
          <w:bdr w:val="none" w:sz="0" w:space="0" w:color="auto" w:frame="1"/>
          <w:lang w:val="uk-UA"/>
        </w:rPr>
        <w:t xml:space="preserve">Жодних симптомів передозування не спостерігалося </w:t>
      </w:r>
      <w:r w:rsidR="003D065B" w:rsidRPr="002C2C86">
        <w:rPr>
          <w:bdr w:val="none" w:sz="0" w:space="0" w:color="auto" w:frame="1"/>
          <w:lang w:val="uk-UA"/>
        </w:rPr>
        <w:t>в</w:t>
      </w:r>
      <w:r w:rsidRPr="002C2C86">
        <w:rPr>
          <w:bdr w:val="none" w:sz="0" w:space="0" w:color="auto" w:frame="1"/>
          <w:lang w:val="uk-UA"/>
        </w:rPr>
        <w:t xml:space="preserve"> курей, яким давали питну воду з концентрацією тилмікозину до 375 мг/л (тобто від 75 до 100 мг тилмікозину на 1 кг маси тіла або в 5 разів перевищує рекомендовану дозу) протягом 5 діб. </w:t>
      </w:r>
    </w:p>
    <w:p w14:paraId="3F787EFA" w14:textId="5BE78DE5" w:rsidR="00700816" w:rsidRPr="002C2C86" w:rsidRDefault="00700816" w:rsidP="00700816">
      <w:pPr>
        <w:ind w:firstLine="567"/>
        <w:jc w:val="both"/>
        <w:rPr>
          <w:bdr w:val="none" w:sz="0" w:space="0" w:color="auto" w:frame="1"/>
          <w:lang w:val="uk-UA"/>
        </w:rPr>
      </w:pPr>
      <w:r w:rsidRPr="002C2C86">
        <w:rPr>
          <w:bdr w:val="none" w:sz="0" w:space="0" w:color="auto" w:frame="1"/>
          <w:lang w:val="uk-UA"/>
        </w:rPr>
        <w:t>У індиків, яким давали питну воду з концентрацією тилмікозину до 375 мг/л (тобто від 50 до 135 мг тилмікозину на 1 кг маси тіла або в 5 разів більше рекомендованої дози) протягом 3 діб, симптомів передозування не спостерігалося. Щодобове лікування - 75 мг тилмікозину на 1 л (тобто максимально рекомендована доза) протягом 6 діб також не викликало жодних симптомів передозування.</w:t>
      </w:r>
    </w:p>
    <w:p w14:paraId="0AD0AEFF"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5.10 Спеціальні застереження</w:t>
      </w:r>
    </w:p>
    <w:p w14:paraId="02D634A6"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Препарат не призначають у субтерапевтичних дозах і тваринам з підвищеною чутливістю до компонентів препарату.</w:t>
      </w:r>
    </w:p>
    <w:p w14:paraId="6EAE66C5"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5.11 Період виведення (каренції)</w:t>
      </w:r>
    </w:p>
    <w:p w14:paraId="33A982B0"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Забій тварин та птиці на м’ясо дозволяють через 14 діб (свині), 12 діб (курчата), 19 діб (індики) та 42 доби (телята) після останнього застосування препарату. Отримане, до зазначеного терміну, м'ясо утилізують або згодовують непродуктивним тваринам залежно від висновку лікаря ветеринарної медицини.</w:t>
      </w:r>
    </w:p>
    <w:p w14:paraId="090772BB"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5.12 Спеціальні застереження для осіб і обслуговуючого персоналу</w:t>
      </w:r>
    </w:p>
    <w:p w14:paraId="7DC92CC6" w14:textId="71A4B543" w:rsidR="00D71CF8" w:rsidRPr="002C2C86" w:rsidRDefault="00D71CF8" w:rsidP="00D71CF8">
      <w:pPr>
        <w:ind w:firstLine="567"/>
        <w:jc w:val="both"/>
        <w:rPr>
          <w:bdr w:val="none" w:sz="0" w:space="0" w:color="auto" w:frame="1"/>
          <w:lang w:val="uk-UA"/>
        </w:rPr>
      </w:pPr>
      <w:r w:rsidRPr="002C2C86">
        <w:rPr>
          <w:snapToGrid w:val="0"/>
          <w:bdr w:val="none" w:sz="0" w:space="0" w:color="auto" w:frame="1"/>
          <w:lang w:val="uk-UA"/>
        </w:rPr>
        <w:t>Персонал, який працює з препаратом, повинен дотримуватись основних правил гігієни та безпеки, прийнятих п</w:t>
      </w:r>
      <w:r w:rsidR="00700816" w:rsidRPr="002C2C86">
        <w:rPr>
          <w:snapToGrid w:val="0"/>
          <w:bdr w:val="none" w:sz="0" w:space="0" w:color="auto" w:frame="1"/>
        </w:rPr>
        <w:t>ід час</w:t>
      </w:r>
      <w:r w:rsidRPr="002C2C86">
        <w:rPr>
          <w:snapToGrid w:val="0"/>
          <w:bdr w:val="none" w:sz="0" w:space="0" w:color="auto" w:frame="1"/>
          <w:lang w:val="uk-UA"/>
        </w:rPr>
        <w:t xml:space="preserve"> робот</w:t>
      </w:r>
      <w:r w:rsidR="00700816" w:rsidRPr="002C2C86">
        <w:rPr>
          <w:snapToGrid w:val="0"/>
          <w:bdr w:val="none" w:sz="0" w:space="0" w:color="auto" w:frame="1"/>
        </w:rPr>
        <w:t xml:space="preserve">и </w:t>
      </w:r>
      <w:r w:rsidRPr="002C2C86">
        <w:rPr>
          <w:snapToGrid w:val="0"/>
          <w:bdr w:val="none" w:sz="0" w:space="0" w:color="auto" w:frame="1"/>
          <w:lang w:val="uk-UA"/>
        </w:rPr>
        <w:t>з ветеринарними препаратами.</w:t>
      </w:r>
    </w:p>
    <w:p w14:paraId="29C794A7"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6. Фармацевтичні особливості</w:t>
      </w:r>
    </w:p>
    <w:p w14:paraId="689E93B9" w14:textId="77777777" w:rsidR="00D71CF8" w:rsidRPr="002C2C86" w:rsidRDefault="00D71CF8" w:rsidP="00D71CF8">
      <w:pPr>
        <w:ind w:firstLine="567"/>
        <w:jc w:val="both"/>
        <w:rPr>
          <w:b/>
          <w:bCs/>
          <w:bdr w:val="none" w:sz="0" w:space="0" w:color="auto" w:frame="1"/>
          <w:lang w:val="uk-UA"/>
        </w:rPr>
      </w:pPr>
      <w:r w:rsidRPr="002C2C86">
        <w:rPr>
          <w:b/>
          <w:bCs/>
          <w:bdr w:val="none" w:sz="0" w:space="0" w:color="auto" w:frame="1"/>
          <w:lang w:val="uk-UA"/>
        </w:rPr>
        <w:t>6.1 Форми несумісності</w:t>
      </w:r>
    </w:p>
    <w:p w14:paraId="1C11CAF6" w14:textId="77777777" w:rsidR="00700816" w:rsidRPr="002C2C86" w:rsidRDefault="00700816" w:rsidP="00700816">
      <w:pPr>
        <w:ind w:firstLine="567"/>
        <w:jc w:val="both"/>
        <w:rPr>
          <w:snapToGrid w:val="0"/>
          <w:bdr w:val="none" w:sz="0" w:space="0" w:color="auto" w:frame="1"/>
        </w:rPr>
      </w:pPr>
      <w:r w:rsidRPr="002C2C86">
        <w:rPr>
          <w:snapToGrid w:val="0"/>
          <w:bdr w:val="none" w:sz="0" w:space="0" w:color="auto" w:frame="1"/>
          <w:lang w:val="uk-UA"/>
        </w:rPr>
        <w:t>Не застосовувати одночасно з антибіотиками аміноглікозидного ряду, через можливість виникнення у тварин побічних ефектів (діарея, парези, нефротоксичні ефекти). Не застосовувати препарат у суміші з кормом, який містить бентоніт.</w:t>
      </w:r>
    </w:p>
    <w:p w14:paraId="77BB8087" w14:textId="77777777" w:rsidR="00700816" w:rsidRPr="002C2C86" w:rsidRDefault="00700816" w:rsidP="00D71CF8">
      <w:pPr>
        <w:ind w:firstLine="567"/>
        <w:jc w:val="both"/>
        <w:rPr>
          <w:b/>
          <w:bCs/>
          <w:bdr w:val="none" w:sz="0" w:space="0" w:color="auto" w:frame="1"/>
        </w:rPr>
      </w:pPr>
    </w:p>
    <w:p w14:paraId="6339096F" w14:textId="45A8CC89" w:rsidR="00D71CF8" w:rsidRPr="002C2C86" w:rsidRDefault="00D71CF8" w:rsidP="00D71CF8">
      <w:pPr>
        <w:ind w:firstLine="567"/>
        <w:jc w:val="both"/>
        <w:rPr>
          <w:b/>
          <w:bCs/>
          <w:bdr w:val="none" w:sz="0" w:space="0" w:color="auto" w:frame="1"/>
        </w:rPr>
      </w:pPr>
      <w:r w:rsidRPr="002C2C86">
        <w:rPr>
          <w:b/>
          <w:bCs/>
          <w:bdr w:val="none" w:sz="0" w:space="0" w:color="auto" w:frame="1"/>
        </w:rPr>
        <w:lastRenderedPageBreak/>
        <w:t>6.2 Термін придатності</w:t>
      </w:r>
    </w:p>
    <w:p w14:paraId="1E2BD4B9"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 xml:space="preserve">2 роки. </w:t>
      </w:r>
    </w:p>
    <w:p w14:paraId="128C782E" w14:textId="7F2FA77F" w:rsidR="00D71CF8" w:rsidRPr="002C2C86" w:rsidRDefault="00D71CF8" w:rsidP="00D71CF8">
      <w:pPr>
        <w:ind w:firstLine="567"/>
        <w:jc w:val="both"/>
        <w:rPr>
          <w:bdr w:val="none" w:sz="0" w:space="0" w:color="auto" w:frame="1"/>
          <w:lang w:val="uk-UA"/>
        </w:rPr>
      </w:pPr>
      <w:r w:rsidRPr="002C2C86">
        <w:rPr>
          <w:bdr w:val="none" w:sz="0" w:space="0" w:color="auto" w:frame="1"/>
          <w:lang w:val="uk-UA"/>
        </w:rPr>
        <w:t>Термін придатності після першого відбору препарату - 14 діб за умови зберігання в темному, місці за температури від 5 до 25 °С.</w:t>
      </w:r>
    </w:p>
    <w:p w14:paraId="31EB2E51" w14:textId="31E07FD0" w:rsidR="00D71CF8" w:rsidRPr="002C2C86" w:rsidRDefault="00D71CF8" w:rsidP="00D71CF8">
      <w:pPr>
        <w:ind w:firstLine="567"/>
        <w:jc w:val="both"/>
        <w:rPr>
          <w:bdr w:val="none" w:sz="0" w:space="0" w:color="auto" w:frame="1"/>
          <w:lang w:val="uk-UA"/>
        </w:rPr>
      </w:pPr>
      <w:r w:rsidRPr="002C2C86">
        <w:rPr>
          <w:bdr w:val="none" w:sz="0" w:space="0" w:color="auto" w:frame="1"/>
          <w:lang w:val="uk-UA"/>
        </w:rPr>
        <w:t>Термі</w:t>
      </w:r>
      <w:r w:rsidR="003D065B" w:rsidRPr="002C2C86">
        <w:rPr>
          <w:bdr w:val="none" w:sz="0" w:space="0" w:color="auto" w:frame="1"/>
          <w:lang w:val="uk-UA"/>
        </w:rPr>
        <w:t>н придатності після розведення в</w:t>
      </w:r>
      <w:r w:rsidRPr="002C2C86">
        <w:rPr>
          <w:bdr w:val="none" w:sz="0" w:space="0" w:color="auto" w:frame="1"/>
          <w:lang w:val="uk-UA"/>
        </w:rPr>
        <w:t xml:space="preserve"> питній воді - 24 години.</w:t>
      </w:r>
    </w:p>
    <w:p w14:paraId="265C9658"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6.3 Особливі заходи зберігання</w:t>
      </w:r>
    </w:p>
    <w:p w14:paraId="49007B4B" w14:textId="0F537A14" w:rsidR="00D71CF8" w:rsidRPr="002C2C86" w:rsidRDefault="00D71CF8" w:rsidP="00D71CF8">
      <w:pPr>
        <w:ind w:firstLine="567"/>
        <w:jc w:val="both"/>
        <w:rPr>
          <w:bdr w:val="none" w:sz="0" w:space="0" w:color="auto" w:frame="1"/>
          <w:lang w:val="uk-UA"/>
        </w:rPr>
      </w:pPr>
      <w:r w:rsidRPr="002C2C86">
        <w:rPr>
          <w:bdr w:val="none" w:sz="0" w:space="0" w:color="auto" w:frame="1"/>
          <w:lang w:val="uk-UA"/>
        </w:rPr>
        <w:t xml:space="preserve">Темне, недоступне для дітей місце за температури від 5 до 25 °С. </w:t>
      </w:r>
    </w:p>
    <w:p w14:paraId="3286D778"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6.4 Природа і склад контейнера первинного пакування</w:t>
      </w:r>
    </w:p>
    <w:p w14:paraId="7A04EDA8" w14:textId="77777777" w:rsidR="00D71CF8" w:rsidRPr="002C2C86" w:rsidRDefault="00D71CF8" w:rsidP="00D71CF8">
      <w:pPr>
        <w:ind w:firstLine="567"/>
        <w:jc w:val="both"/>
        <w:rPr>
          <w:bdr w:val="none" w:sz="0" w:space="0" w:color="auto" w:frame="1"/>
          <w:lang w:val="uk-UA"/>
        </w:rPr>
      </w:pPr>
      <w:r w:rsidRPr="002C2C86">
        <w:rPr>
          <w:bdr w:val="none" w:sz="0" w:space="0" w:color="auto" w:frame="1"/>
          <w:lang w:val="uk-UA"/>
        </w:rPr>
        <w:t>Флакони зі скла або полімерних матеріалів по 10, 50, 100, 250, 500 та 1000 мл.</w:t>
      </w:r>
    </w:p>
    <w:p w14:paraId="2A1E48C8"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6.5 Особливі заходи безпеки при поводженні з невикористаним препаратом або із його залишками</w:t>
      </w:r>
    </w:p>
    <w:p w14:paraId="66DAF925" w14:textId="77777777" w:rsidR="00D71CF8" w:rsidRPr="002C2C86" w:rsidRDefault="00D71CF8" w:rsidP="00D71CF8">
      <w:pPr>
        <w:ind w:firstLine="567"/>
        <w:jc w:val="both"/>
        <w:rPr>
          <w:bdr w:val="none" w:sz="0" w:space="0" w:color="auto" w:frame="1"/>
          <w:lang w:val="uk-UA"/>
        </w:rPr>
      </w:pPr>
      <w:r w:rsidRPr="002C2C86">
        <w:rPr>
          <w:spacing w:val="-1"/>
        </w:rPr>
        <w:t>Порожню упаковку та залишки невикористаного препарату потрібно утилізувати згідно з чинним законодавством.</w:t>
      </w:r>
    </w:p>
    <w:p w14:paraId="7994EE22" w14:textId="77777777" w:rsidR="00D71CF8" w:rsidRPr="002C2C86" w:rsidRDefault="00D71CF8" w:rsidP="00D71CF8">
      <w:pPr>
        <w:ind w:firstLine="567"/>
        <w:jc w:val="both"/>
        <w:rPr>
          <w:b/>
          <w:bCs/>
          <w:bdr w:val="none" w:sz="0" w:space="0" w:color="auto" w:frame="1"/>
        </w:rPr>
      </w:pPr>
      <w:r w:rsidRPr="002C2C86">
        <w:rPr>
          <w:b/>
          <w:bCs/>
          <w:bdr w:val="none" w:sz="0" w:space="0" w:color="auto" w:frame="1"/>
        </w:rPr>
        <w:t>7. Назва та місцезнаходження власника реєстраційного посвідчення</w:t>
      </w:r>
    </w:p>
    <w:p w14:paraId="61808B8E" w14:textId="77777777" w:rsidR="00D71CF8" w:rsidRPr="002C2C86" w:rsidRDefault="00D71CF8" w:rsidP="00D71CF8">
      <w:pPr>
        <w:ind w:firstLine="709"/>
        <w:jc w:val="both"/>
        <w:rPr>
          <w:bCs/>
          <w:szCs w:val="28"/>
          <w:lang w:val="uk-UA"/>
        </w:rPr>
      </w:pPr>
      <w:r w:rsidRPr="002C2C86">
        <w:rPr>
          <w:bCs/>
          <w:szCs w:val="28"/>
          <w:lang w:val="uk-UA"/>
        </w:rPr>
        <w:t>ТОВ "БІОТЕСТЛАБ"</w:t>
      </w:r>
    </w:p>
    <w:p w14:paraId="1B76B482" w14:textId="02D1F563" w:rsidR="00D71CF8" w:rsidRPr="002C2C86" w:rsidRDefault="00D71CF8" w:rsidP="00D71CF8">
      <w:pPr>
        <w:ind w:firstLine="709"/>
        <w:jc w:val="both"/>
        <w:rPr>
          <w:bCs/>
          <w:szCs w:val="28"/>
          <w:lang w:val="uk-UA"/>
        </w:rPr>
      </w:pPr>
      <w:r w:rsidRPr="002C2C86">
        <w:rPr>
          <w:bCs/>
          <w:szCs w:val="28"/>
        </w:rPr>
        <w:t xml:space="preserve">Україна, 08601, Київська область, м. Васильків, вул. Володимирська, 57А </w:t>
      </w:r>
    </w:p>
    <w:p w14:paraId="33F7A49C" w14:textId="77777777" w:rsidR="00D71CF8" w:rsidRPr="002C2C86" w:rsidRDefault="00D71CF8" w:rsidP="00D71CF8">
      <w:pPr>
        <w:widowControl w:val="0"/>
        <w:ind w:right="-2" w:firstLine="708"/>
        <w:jc w:val="both"/>
        <w:rPr>
          <w:b/>
          <w:bCs/>
          <w:szCs w:val="28"/>
          <w:lang w:val="uk-UA" w:bidi="en-US"/>
        </w:rPr>
      </w:pPr>
      <w:bookmarkStart w:id="1" w:name="n64"/>
      <w:bookmarkEnd w:id="1"/>
      <w:r w:rsidRPr="002C2C86">
        <w:rPr>
          <w:b/>
          <w:bCs/>
          <w:szCs w:val="28"/>
          <w:lang w:val="uk-UA" w:bidi="en-US"/>
        </w:rPr>
        <w:t>8. Назва та місцезнаходження виробника готового продукту</w:t>
      </w:r>
    </w:p>
    <w:p w14:paraId="3E72D627" w14:textId="77777777" w:rsidR="00D71CF8" w:rsidRPr="002C2C86" w:rsidRDefault="00D71CF8" w:rsidP="00D71CF8">
      <w:pPr>
        <w:ind w:firstLine="709"/>
        <w:jc w:val="both"/>
        <w:rPr>
          <w:bCs/>
          <w:szCs w:val="28"/>
          <w:lang w:val="uk-UA"/>
        </w:rPr>
      </w:pPr>
      <w:r w:rsidRPr="002C2C86">
        <w:rPr>
          <w:bCs/>
          <w:szCs w:val="28"/>
          <w:lang w:val="uk-UA"/>
        </w:rPr>
        <w:t>ТОВ "БІОТЕСТЛАБ"</w:t>
      </w:r>
    </w:p>
    <w:p w14:paraId="355A2D37" w14:textId="1BA52CB7" w:rsidR="00D71CF8" w:rsidRPr="002C2C86" w:rsidRDefault="00D71CF8" w:rsidP="00D71CF8">
      <w:pPr>
        <w:ind w:firstLine="709"/>
        <w:jc w:val="both"/>
        <w:rPr>
          <w:bCs/>
          <w:szCs w:val="28"/>
          <w:lang w:val="en-US"/>
        </w:rPr>
      </w:pPr>
      <w:r w:rsidRPr="002C2C86">
        <w:rPr>
          <w:bCs/>
          <w:szCs w:val="28"/>
        </w:rPr>
        <w:t xml:space="preserve">Україна, 08601, </w:t>
      </w:r>
      <w:bookmarkStart w:id="2" w:name="_GoBack"/>
      <w:bookmarkEnd w:id="2"/>
      <w:r w:rsidRPr="002C2C86">
        <w:rPr>
          <w:bCs/>
          <w:szCs w:val="28"/>
        </w:rPr>
        <w:t>Київська область, Обухівський район, м. Васильків, вул. Лістрового Олександра, 1/3</w:t>
      </w:r>
    </w:p>
    <w:p w14:paraId="568E7C12" w14:textId="6274C944" w:rsidR="00D71CF8" w:rsidRPr="002C2C86" w:rsidRDefault="00D71CF8" w:rsidP="00D71CF8">
      <w:pPr>
        <w:ind w:firstLine="709"/>
        <w:jc w:val="both"/>
        <w:rPr>
          <w:bCs/>
          <w:szCs w:val="28"/>
        </w:rPr>
      </w:pPr>
      <w:r w:rsidRPr="002C2C86">
        <w:rPr>
          <w:bCs/>
          <w:szCs w:val="28"/>
        </w:rPr>
        <w:t>www.biotestlab.ua</w:t>
      </w:r>
    </w:p>
    <w:p w14:paraId="333A9994" w14:textId="77777777" w:rsidR="00D71CF8" w:rsidRPr="002C2C86" w:rsidRDefault="00D71CF8" w:rsidP="00D71CF8">
      <w:pPr>
        <w:widowControl w:val="0"/>
        <w:ind w:right="-2" w:firstLine="708"/>
        <w:jc w:val="both"/>
        <w:rPr>
          <w:b/>
          <w:szCs w:val="28"/>
          <w:lang w:val="uk-UA" w:bidi="en-US"/>
        </w:rPr>
      </w:pPr>
      <w:r w:rsidRPr="002C2C86">
        <w:rPr>
          <w:b/>
          <w:szCs w:val="28"/>
          <w:lang w:val="uk-UA" w:bidi="en-US"/>
        </w:rPr>
        <w:t>9. Додаткова інформація.</w:t>
      </w:r>
    </w:p>
    <w:p w14:paraId="6A2290D7" w14:textId="77777777" w:rsidR="00D71CF8" w:rsidRPr="00D71CF8" w:rsidRDefault="00D71CF8" w:rsidP="00D71CF8">
      <w:pPr>
        <w:ind w:firstLine="708"/>
        <w:jc w:val="both"/>
        <w:rPr>
          <w:rFonts w:eastAsiaTheme="minorHAnsi"/>
          <w:kern w:val="2"/>
          <w:szCs w:val="28"/>
          <w:lang w:val="x-none"/>
          <w14:ligatures w14:val="standardContextual"/>
        </w:rPr>
      </w:pPr>
      <w:r w:rsidRPr="002C2C86">
        <w:rPr>
          <w:rFonts w:eastAsiaTheme="minorHAnsi"/>
          <w:kern w:val="2"/>
          <w:szCs w:val="28"/>
          <w:lang w:val="x-none"/>
          <w14:ligatures w14:val="standardContextual"/>
        </w:rPr>
        <w:t>Відсутня.</w:t>
      </w:r>
    </w:p>
    <w:p w14:paraId="4B1B6C49" w14:textId="77777777" w:rsidR="00D71CF8" w:rsidRPr="00D71CF8" w:rsidRDefault="00D71CF8" w:rsidP="00D71CF8">
      <w:pPr>
        <w:ind w:firstLine="567"/>
        <w:jc w:val="both"/>
      </w:pPr>
    </w:p>
    <w:p w14:paraId="60E8044B" w14:textId="56550C1D" w:rsidR="00AB7585" w:rsidRPr="00D71CF8" w:rsidRDefault="00AB7585" w:rsidP="00D71CF8"/>
    <w:sectPr w:rsidR="00AB7585" w:rsidRPr="00D71CF8" w:rsidSect="0007385D">
      <w:headerReference w:type="default" r:id="rId7"/>
      <w:footerReference w:type="default" r:id="rId8"/>
      <w:headerReference w:type="first" r:id="rId9"/>
      <w:footerReference w:type="first" r:id="rId10"/>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B88F4" w14:textId="77777777" w:rsidR="00B86F13" w:rsidRDefault="00B86F13" w:rsidP="00EB429C">
      <w:r>
        <w:separator/>
      </w:r>
    </w:p>
  </w:endnote>
  <w:endnote w:type="continuationSeparator" w:id="0">
    <w:p w14:paraId="515054A1" w14:textId="77777777" w:rsidR="00B86F13" w:rsidRDefault="00B86F13" w:rsidP="00E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88997"/>
      <w:docPartObj>
        <w:docPartGallery w:val="Page Numbers (Bottom of Page)"/>
        <w:docPartUnique/>
      </w:docPartObj>
    </w:sdtPr>
    <w:sdtEndPr/>
    <w:sdtContent>
      <w:p w14:paraId="236674A5" w14:textId="05FB79F7" w:rsidR="009F0027" w:rsidRDefault="009F0027">
        <w:pPr>
          <w:pStyle w:val="af1"/>
          <w:jc w:val="center"/>
        </w:pPr>
        <w:r>
          <w:fldChar w:fldCharType="begin"/>
        </w:r>
        <w:r>
          <w:instrText>PAGE   \* MERGEFORMAT</w:instrText>
        </w:r>
        <w:r>
          <w:fldChar w:fldCharType="separate"/>
        </w:r>
        <w:r w:rsidR="002C2C86" w:rsidRPr="002C2C86">
          <w:rPr>
            <w:noProof/>
            <w:lang w:val="uk-UA"/>
          </w:rPr>
          <w:t>4</w:t>
        </w:r>
        <w:r>
          <w:fldChar w:fldCharType="end"/>
        </w:r>
      </w:p>
    </w:sdtContent>
  </w:sdt>
  <w:p w14:paraId="0AF88DDB" w14:textId="77777777" w:rsidR="009F0027" w:rsidRDefault="009F00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482299"/>
      <w:docPartObj>
        <w:docPartGallery w:val="Page Numbers (Bottom of Page)"/>
        <w:docPartUnique/>
      </w:docPartObj>
    </w:sdtPr>
    <w:sdtEndPr/>
    <w:sdtContent>
      <w:p w14:paraId="40877A18" w14:textId="426526FD" w:rsidR="009F0027" w:rsidRDefault="009F0027">
        <w:pPr>
          <w:pStyle w:val="af1"/>
          <w:jc w:val="center"/>
        </w:pPr>
        <w:r>
          <w:fldChar w:fldCharType="begin"/>
        </w:r>
        <w:r>
          <w:instrText>PAGE   \* MERGEFORMAT</w:instrText>
        </w:r>
        <w:r>
          <w:fldChar w:fldCharType="separate"/>
        </w:r>
        <w:r w:rsidR="002C2C86" w:rsidRPr="002C2C86">
          <w:rPr>
            <w:noProof/>
            <w:lang w:val="uk-UA"/>
          </w:rPr>
          <w:t>1</w:t>
        </w:r>
        <w:r>
          <w:fldChar w:fldCharType="end"/>
        </w:r>
      </w:p>
    </w:sdtContent>
  </w:sdt>
  <w:p w14:paraId="0B44E013" w14:textId="77777777" w:rsidR="009F0027" w:rsidRDefault="009F00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1C3E" w14:textId="77777777" w:rsidR="00B86F13" w:rsidRDefault="00B86F13" w:rsidP="00EB429C">
      <w:r>
        <w:separator/>
      </w:r>
    </w:p>
  </w:footnote>
  <w:footnote w:type="continuationSeparator" w:id="0">
    <w:p w14:paraId="38D41C2D" w14:textId="77777777" w:rsidR="00B86F13" w:rsidRDefault="00B86F13" w:rsidP="00EB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7561" w14:textId="28F0720A" w:rsidR="00EB429C" w:rsidRPr="0007385D" w:rsidRDefault="0007385D" w:rsidP="00EB429C">
    <w:pPr>
      <w:pStyle w:val="af"/>
      <w:jc w:val="right"/>
      <w:rPr>
        <w:lang w:val="uk-UA"/>
      </w:rPr>
    </w:pPr>
    <w:r w:rsidRPr="0007385D">
      <w:rPr>
        <w:lang w:val="uk-UA"/>
      </w:rPr>
      <w:t xml:space="preserve">Продовження </w:t>
    </w:r>
    <w:r w:rsidR="00EB429C" w:rsidRPr="0007385D">
      <w:rPr>
        <w:lang w:val="uk-UA"/>
      </w:rPr>
      <w:t>Додатк</w:t>
    </w:r>
    <w:r w:rsidRPr="0007385D">
      <w:rPr>
        <w:lang w:val="uk-UA"/>
      </w:rPr>
      <w:t>у1</w:t>
    </w:r>
    <w:r w:rsidR="00EB429C" w:rsidRPr="0007385D">
      <w:rPr>
        <w:lang w:val="uk-UA"/>
      </w:rPr>
      <w:t xml:space="preserve">  </w:t>
    </w:r>
  </w:p>
  <w:p w14:paraId="692BF4F6" w14:textId="5A424FF3" w:rsidR="001E6EA3" w:rsidRPr="00700816" w:rsidRDefault="00EB429C" w:rsidP="001E6EA3">
    <w:pPr>
      <w:pStyle w:val="af"/>
      <w:jc w:val="right"/>
      <w:rPr>
        <w:bCs/>
        <w:color w:val="000000"/>
        <w:szCs w:val="28"/>
        <w:lang w:eastAsia="uk-UA"/>
      </w:rPr>
    </w:pPr>
    <w:r w:rsidRPr="0007385D">
      <w:rPr>
        <w:lang w:val="uk-UA"/>
      </w:rPr>
      <w:t xml:space="preserve">до реєстраційного посвідчення  </w:t>
    </w:r>
    <w:r w:rsidR="00A06DD1" w:rsidRPr="00A06DD1">
      <w:rPr>
        <w:szCs w:val="28"/>
      </w:rPr>
      <w:t>АВ-0</w:t>
    </w:r>
    <w:r w:rsidR="00D71CF8" w:rsidRPr="00700816">
      <w:rPr>
        <w:szCs w:val="28"/>
      </w:rPr>
      <w:t>2094</w:t>
    </w:r>
    <w:r w:rsidR="00A06DD1" w:rsidRPr="00A06DD1">
      <w:rPr>
        <w:szCs w:val="28"/>
      </w:rPr>
      <w:t>-01-1</w:t>
    </w:r>
    <w:r w:rsidR="00D71CF8" w:rsidRPr="00700816">
      <w:rPr>
        <w:szCs w:val="28"/>
      </w:rPr>
      <w:t>1</w:t>
    </w:r>
  </w:p>
  <w:p w14:paraId="000A7325" w14:textId="77777777" w:rsidR="001E6EA3" w:rsidRPr="0007385D" w:rsidRDefault="001E6EA3" w:rsidP="001E6EA3">
    <w:pPr>
      <w:pStyle w:val="af"/>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D182" w14:textId="0D0E3973" w:rsidR="0007385D" w:rsidRPr="0007385D" w:rsidRDefault="0007385D" w:rsidP="0007385D">
    <w:pPr>
      <w:pStyle w:val="af"/>
      <w:jc w:val="right"/>
      <w:rPr>
        <w:lang w:val="uk-UA"/>
      </w:rPr>
    </w:pPr>
    <w:r w:rsidRPr="0007385D">
      <w:rPr>
        <w:lang w:val="uk-UA"/>
      </w:rPr>
      <w:t xml:space="preserve">Додаток 1  </w:t>
    </w:r>
  </w:p>
  <w:p w14:paraId="1AA77C8B" w14:textId="56E8E540" w:rsidR="0007385D" w:rsidRPr="00700816" w:rsidRDefault="0007385D" w:rsidP="001E6EA3">
    <w:pPr>
      <w:pStyle w:val="af"/>
      <w:jc w:val="right"/>
      <w:rPr>
        <w:bCs/>
        <w:color w:val="000000"/>
        <w:szCs w:val="28"/>
        <w:lang w:eastAsia="uk-UA"/>
      </w:rPr>
    </w:pPr>
    <w:r w:rsidRPr="0007385D">
      <w:rPr>
        <w:lang w:val="uk-UA"/>
      </w:rPr>
      <w:t xml:space="preserve">до реєстраційного посвідчення  </w:t>
    </w:r>
    <w:r w:rsidR="00A06DD1" w:rsidRPr="00A06DD1">
      <w:rPr>
        <w:szCs w:val="28"/>
      </w:rPr>
      <w:t>АВ-0</w:t>
    </w:r>
    <w:r w:rsidR="00D71CF8" w:rsidRPr="00700816">
      <w:rPr>
        <w:szCs w:val="28"/>
      </w:rPr>
      <w:t>2094</w:t>
    </w:r>
    <w:r w:rsidR="00A06DD1" w:rsidRPr="00A06DD1">
      <w:rPr>
        <w:szCs w:val="28"/>
      </w:rPr>
      <w:t>-01-1</w:t>
    </w:r>
    <w:r w:rsidR="00D71CF8" w:rsidRPr="00700816">
      <w:rPr>
        <w:szCs w:val="28"/>
      </w:rPr>
      <w:t>1</w:t>
    </w:r>
  </w:p>
  <w:p w14:paraId="30486F41" w14:textId="77777777" w:rsidR="001E6EA3" w:rsidRPr="0007385D" w:rsidRDefault="001E6EA3" w:rsidP="001E6EA3">
    <w:pPr>
      <w:pStyle w:val="af"/>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146115E"/>
    <w:lvl w:ilvl="0">
      <w:start w:val="2"/>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bCs/>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2"/>
        <w:szCs w:val="22"/>
        <w:u w:val="none"/>
      </w:rPr>
    </w:lvl>
    <w:lvl w:ilvl="3">
      <w:start w:val="1"/>
      <w:numFmt w:val="decimal"/>
      <w:lvlText w:val="%1.%2"/>
      <w:lvlJc w:val="left"/>
      <w:rPr>
        <w:b/>
        <w:bCs/>
        <w:i w:val="0"/>
        <w:iCs w:val="0"/>
        <w:smallCaps w:val="0"/>
        <w:strike w:val="0"/>
        <w:color w:val="000000"/>
        <w:spacing w:val="0"/>
        <w:w w:val="100"/>
        <w:position w:val="0"/>
        <w:sz w:val="22"/>
        <w:szCs w:val="22"/>
        <w:u w:val="none"/>
      </w:rPr>
    </w:lvl>
    <w:lvl w:ilvl="4">
      <w:start w:val="1"/>
      <w:numFmt w:val="decimal"/>
      <w:lvlText w:val="%1.%2"/>
      <w:lvlJc w:val="left"/>
      <w:rPr>
        <w:b/>
        <w:bCs/>
        <w:i w:val="0"/>
        <w:iCs w:val="0"/>
        <w:smallCaps w:val="0"/>
        <w:strike w:val="0"/>
        <w:color w:val="000000"/>
        <w:spacing w:val="0"/>
        <w:w w:val="100"/>
        <w:position w:val="0"/>
        <w:sz w:val="22"/>
        <w:szCs w:val="22"/>
        <w:u w:val="none"/>
      </w:rPr>
    </w:lvl>
    <w:lvl w:ilvl="5">
      <w:start w:val="1"/>
      <w:numFmt w:val="decimal"/>
      <w:lvlText w:val="%1.%2"/>
      <w:lvlJc w:val="left"/>
      <w:rPr>
        <w:b/>
        <w:bCs/>
        <w:i w:val="0"/>
        <w:iCs w:val="0"/>
        <w:smallCaps w:val="0"/>
        <w:strike w:val="0"/>
        <w:color w:val="000000"/>
        <w:spacing w:val="0"/>
        <w:w w:val="100"/>
        <w:position w:val="0"/>
        <w:sz w:val="22"/>
        <w:szCs w:val="22"/>
        <w:u w:val="none"/>
      </w:rPr>
    </w:lvl>
    <w:lvl w:ilvl="6">
      <w:start w:val="1"/>
      <w:numFmt w:val="decimal"/>
      <w:lvlText w:val="%1.%2"/>
      <w:lvlJc w:val="left"/>
      <w:rPr>
        <w:b/>
        <w:bCs/>
        <w:i w:val="0"/>
        <w:iCs w:val="0"/>
        <w:smallCaps w:val="0"/>
        <w:strike w:val="0"/>
        <w:color w:val="000000"/>
        <w:spacing w:val="0"/>
        <w:w w:val="100"/>
        <w:position w:val="0"/>
        <w:sz w:val="22"/>
        <w:szCs w:val="22"/>
        <w:u w:val="none"/>
      </w:rPr>
    </w:lvl>
    <w:lvl w:ilvl="7">
      <w:start w:val="1"/>
      <w:numFmt w:val="decimal"/>
      <w:lvlText w:val="%1.%2"/>
      <w:lvlJc w:val="left"/>
      <w:rPr>
        <w:b/>
        <w:bCs/>
        <w:i w:val="0"/>
        <w:iCs w:val="0"/>
        <w:smallCaps w:val="0"/>
        <w:strike w:val="0"/>
        <w:color w:val="000000"/>
        <w:spacing w:val="0"/>
        <w:w w:val="100"/>
        <w:position w:val="0"/>
        <w:sz w:val="22"/>
        <w:szCs w:val="22"/>
        <w:u w:val="none"/>
      </w:rPr>
    </w:lvl>
    <w:lvl w:ilvl="8">
      <w:start w:val="1"/>
      <w:numFmt w:val="decimal"/>
      <w:lvlText w:val="%1.%2"/>
      <w:lvlJc w:val="left"/>
      <w:rPr>
        <w:b/>
        <w:bCs/>
        <w:i w:val="0"/>
        <w:iCs w:val="0"/>
        <w:smallCaps w:val="0"/>
        <w:strike w:val="0"/>
        <w:color w:val="000000"/>
        <w:spacing w:val="0"/>
        <w:w w:val="100"/>
        <w:position w:val="0"/>
        <w:sz w:val="22"/>
        <w:szCs w:val="22"/>
        <w:u w:val="none"/>
      </w:rPr>
    </w:lvl>
  </w:abstractNum>
  <w:abstractNum w:abstractNumId="1" w15:restartNumberingAfterBreak="0">
    <w:nsid w:val="3FE91E1D"/>
    <w:multiLevelType w:val="multilevel"/>
    <w:tmpl w:val="9BB26F1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611053A"/>
    <w:multiLevelType w:val="hybridMultilevel"/>
    <w:tmpl w:val="76029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C425E4"/>
    <w:multiLevelType w:val="singleLevel"/>
    <w:tmpl w:val="852C7A26"/>
    <w:lvl w:ilvl="0">
      <w:start w:val="5"/>
      <w:numFmt w:val="decimal"/>
      <w:lvlText w:val="5.%1"/>
      <w:legacy w:legacy="1" w:legacySpace="0" w:legacyIndent="350"/>
      <w:lvlJc w:val="left"/>
      <w:rPr>
        <w:rFonts w:ascii="Times New Roman" w:hAnsi="Times New Roman"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85"/>
    <w:rsid w:val="000005BF"/>
    <w:rsid w:val="0007385D"/>
    <w:rsid w:val="000E45FC"/>
    <w:rsid w:val="001272A3"/>
    <w:rsid w:val="00177CBA"/>
    <w:rsid w:val="001E6EA3"/>
    <w:rsid w:val="002C2C86"/>
    <w:rsid w:val="003065D9"/>
    <w:rsid w:val="00347D1C"/>
    <w:rsid w:val="003D065B"/>
    <w:rsid w:val="004A5EB2"/>
    <w:rsid w:val="0055617B"/>
    <w:rsid w:val="00623617"/>
    <w:rsid w:val="006B7478"/>
    <w:rsid w:val="00700816"/>
    <w:rsid w:val="00841177"/>
    <w:rsid w:val="008D6848"/>
    <w:rsid w:val="00941B6B"/>
    <w:rsid w:val="00983167"/>
    <w:rsid w:val="009F0027"/>
    <w:rsid w:val="009F649B"/>
    <w:rsid w:val="00A06DD1"/>
    <w:rsid w:val="00A10651"/>
    <w:rsid w:val="00A37BED"/>
    <w:rsid w:val="00AB7585"/>
    <w:rsid w:val="00B86F13"/>
    <w:rsid w:val="00D71CF8"/>
    <w:rsid w:val="00EB429C"/>
    <w:rsid w:val="00EE5F45"/>
    <w:rsid w:val="00EF35FB"/>
    <w:rsid w:val="00F360C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8EEA"/>
  <w15:docId w15:val="{0821953A-4BA9-49B8-8B5A-61C3033A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58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B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75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75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7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758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758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758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758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5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75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75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75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75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75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7585"/>
    <w:rPr>
      <w:rFonts w:eastAsiaTheme="majorEastAsia" w:cstheme="majorBidi"/>
      <w:color w:val="595959" w:themeColor="text1" w:themeTint="A6"/>
    </w:rPr>
  </w:style>
  <w:style w:type="character" w:customStyle="1" w:styleId="80">
    <w:name w:val="Заголовок 8 Знак"/>
    <w:basedOn w:val="a0"/>
    <w:link w:val="8"/>
    <w:uiPriority w:val="9"/>
    <w:semiHidden/>
    <w:rsid w:val="00AB75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7585"/>
    <w:rPr>
      <w:rFonts w:eastAsiaTheme="majorEastAsia" w:cstheme="majorBidi"/>
      <w:color w:val="272727" w:themeColor="text1" w:themeTint="D8"/>
    </w:rPr>
  </w:style>
  <w:style w:type="paragraph" w:styleId="a3">
    <w:name w:val="Title"/>
    <w:basedOn w:val="a"/>
    <w:next w:val="a"/>
    <w:link w:val="a4"/>
    <w:uiPriority w:val="10"/>
    <w:qFormat/>
    <w:rsid w:val="00AB758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58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758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7585"/>
    <w:pPr>
      <w:spacing w:before="160"/>
      <w:jc w:val="center"/>
    </w:pPr>
    <w:rPr>
      <w:i/>
      <w:iCs/>
      <w:color w:val="404040" w:themeColor="text1" w:themeTint="BF"/>
    </w:rPr>
  </w:style>
  <w:style w:type="character" w:customStyle="1" w:styleId="a8">
    <w:name w:val="Цитата Знак"/>
    <w:basedOn w:val="a0"/>
    <w:link w:val="a7"/>
    <w:uiPriority w:val="29"/>
    <w:rsid w:val="00AB7585"/>
    <w:rPr>
      <w:i/>
      <w:iCs/>
      <w:color w:val="404040" w:themeColor="text1" w:themeTint="BF"/>
    </w:rPr>
  </w:style>
  <w:style w:type="paragraph" w:styleId="a9">
    <w:name w:val="List Paragraph"/>
    <w:basedOn w:val="a"/>
    <w:uiPriority w:val="34"/>
    <w:qFormat/>
    <w:rsid w:val="00AB7585"/>
    <w:pPr>
      <w:ind w:left="720"/>
      <w:contextualSpacing/>
    </w:pPr>
  </w:style>
  <w:style w:type="character" w:styleId="aa">
    <w:name w:val="Intense Emphasis"/>
    <w:basedOn w:val="a0"/>
    <w:uiPriority w:val="21"/>
    <w:qFormat/>
    <w:rsid w:val="00AB7585"/>
    <w:rPr>
      <w:i/>
      <w:iCs/>
      <w:color w:val="0F4761" w:themeColor="accent1" w:themeShade="BF"/>
    </w:rPr>
  </w:style>
  <w:style w:type="paragraph" w:styleId="ab">
    <w:name w:val="Intense Quote"/>
    <w:basedOn w:val="a"/>
    <w:next w:val="a"/>
    <w:link w:val="ac"/>
    <w:uiPriority w:val="30"/>
    <w:qFormat/>
    <w:rsid w:val="00AB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7585"/>
    <w:rPr>
      <w:i/>
      <w:iCs/>
      <w:color w:val="0F4761" w:themeColor="accent1" w:themeShade="BF"/>
    </w:rPr>
  </w:style>
  <w:style w:type="character" w:styleId="ad">
    <w:name w:val="Intense Reference"/>
    <w:basedOn w:val="a0"/>
    <w:uiPriority w:val="32"/>
    <w:qFormat/>
    <w:rsid w:val="00AB7585"/>
    <w:rPr>
      <w:b/>
      <w:bCs/>
      <w:smallCaps/>
      <w:color w:val="0F4761" w:themeColor="accent1" w:themeShade="BF"/>
      <w:spacing w:val="5"/>
    </w:rPr>
  </w:style>
  <w:style w:type="character" w:styleId="ae">
    <w:name w:val="Strong"/>
    <w:uiPriority w:val="22"/>
    <w:qFormat/>
    <w:rsid w:val="00AB7585"/>
    <w:rPr>
      <w:b/>
      <w:bCs/>
    </w:rPr>
  </w:style>
  <w:style w:type="paragraph" w:customStyle="1" w:styleId="21">
    <w:name w:val="заг 2"/>
    <w:basedOn w:val="a"/>
    <w:link w:val="22"/>
    <w:qFormat/>
    <w:rsid w:val="00AB7585"/>
    <w:pPr>
      <w:jc w:val="center"/>
      <w:outlineLvl w:val="1"/>
    </w:pPr>
    <w:rPr>
      <w:b/>
      <w:bCs/>
      <w:sz w:val="28"/>
      <w:lang w:val="uk-UA"/>
    </w:rPr>
  </w:style>
  <w:style w:type="character" w:customStyle="1" w:styleId="22">
    <w:name w:val="заг 2 Знак"/>
    <w:link w:val="21"/>
    <w:rsid w:val="00AB7585"/>
    <w:rPr>
      <w:rFonts w:ascii="Times New Roman" w:eastAsia="Times New Roman" w:hAnsi="Times New Roman" w:cs="Times New Roman"/>
      <w:b/>
      <w:bCs/>
      <w:kern w:val="0"/>
      <w:sz w:val="28"/>
      <w:lang w:val="uk-UA" w:eastAsia="ru-RU"/>
      <w14:ligatures w14:val="none"/>
    </w:rPr>
  </w:style>
  <w:style w:type="paragraph" w:customStyle="1" w:styleId="11">
    <w:name w:val="1 заголовок"/>
    <w:basedOn w:val="a"/>
    <w:link w:val="12"/>
    <w:autoRedefine/>
    <w:qFormat/>
    <w:rsid w:val="00AB7585"/>
    <w:pPr>
      <w:keepNext/>
      <w:spacing w:line="360" w:lineRule="auto"/>
      <w:jc w:val="center"/>
      <w:outlineLvl w:val="0"/>
    </w:pPr>
    <w:rPr>
      <w:rFonts w:eastAsia="Arial Unicode MS"/>
      <w:b/>
      <w:bCs/>
      <w:sz w:val="32"/>
      <w:szCs w:val="32"/>
      <w:lang w:val="uk-UA" w:eastAsia="en-US"/>
    </w:rPr>
  </w:style>
  <w:style w:type="character" w:customStyle="1" w:styleId="12">
    <w:name w:val="1 заголовок Знак"/>
    <w:link w:val="11"/>
    <w:rsid w:val="00AB7585"/>
    <w:rPr>
      <w:rFonts w:ascii="Times New Roman" w:eastAsia="Arial Unicode MS" w:hAnsi="Times New Roman" w:cs="Times New Roman"/>
      <w:b/>
      <w:bCs/>
      <w:kern w:val="0"/>
      <w:sz w:val="32"/>
      <w:szCs w:val="32"/>
      <w:lang w:val="uk-UA"/>
      <w14:ligatures w14:val="none"/>
    </w:rPr>
  </w:style>
  <w:style w:type="paragraph" w:customStyle="1" w:styleId="13">
    <w:name w:val="1 закол"/>
    <w:basedOn w:val="a"/>
    <w:link w:val="14"/>
    <w:qFormat/>
    <w:rsid w:val="00AB7585"/>
    <w:pPr>
      <w:spacing w:line="360" w:lineRule="auto"/>
      <w:ind w:firstLine="709"/>
      <w:jc w:val="both"/>
    </w:pPr>
    <w:rPr>
      <w:rFonts w:eastAsia="Calibri"/>
      <w:b/>
      <w:sz w:val="28"/>
      <w:szCs w:val="22"/>
      <w:lang w:val="uk-UA"/>
    </w:rPr>
  </w:style>
  <w:style w:type="character" w:customStyle="1" w:styleId="14">
    <w:name w:val="1 закол Знак"/>
    <w:link w:val="13"/>
    <w:rsid w:val="00AB7585"/>
    <w:rPr>
      <w:rFonts w:ascii="Times New Roman" w:eastAsia="Calibri" w:hAnsi="Times New Roman" w:cs="Times New Roman"/>
      <w:b/>
      <w:kern w:val="0"/>
      <w:sz w:val="28"/>
      <w:szCs w:val="22"/>
      <w:lang w:val="uk-UA" w:eastAsia="ru-RU"/>
      <w14:ligatures w14:val="none"/>
    </w:rPr>
  </w:style>
  <w:style w:type="paragraph" w:styleId="af">
    <w:name w:val="header"/>
    <w:basedOn w:val="a"/>
    <w:link w:val="af0"/>
    <w:uiPriority w:val="99"/>
    <w:unhideWhenUsed/>
    <w:rsid w:val="00EB429C"/>
    <w:pPr>
      <w:tabs>
        <w:tab w:val="center" w:pos="4677"/>
        <w:tab w:val="right" w:pos="9355"/>
      </w:tabs>
    </w:pPr>
  </w:style>
  <w:style w:type="character" w:customStyle="1" w:styleId="af0">
    <w:name w:val="Верхній колонтитул Знак"/>
    <w:basedOn w:val="a0"/>
    <w:link w:val="af"/>
    <w:uiPriority w:val="99"/>
    <w:rsid w:val="00EB429C"/>
    <w:rPr>
      <w:rFonts w:ascii="Times New Roman" w:eastAsia="Times New Roman" w:hAnsi="Times New Roman" w:cs="Times New Roman"/>
      <w:kern w:val="0"/>
      <w:lang w:val="ru-RU" w:eastAsia="ru-RU"/>
      <w14:ligatures w14:val="none"/>
    </w:rPr>
  </w:style>
  <w:style w:type="paragraph" w:styleId="af1">
    <w:name w:val="footer"/>
    <w:basedOn w:val="a"/>
    <w:link w:val="af2"/>
    <w:uiPriority w:val="99"/>
    <w:unhideWhenUsed/>
    <w:rsid w:val="00EB429C"/>
    <w:pPr>
      <w:tabs>
        <w:tab w:val="center" w:pos="4677"/>
        <w:tab w:val="right" w:pos="9355"/>
      </w:tabs>
    </w:pPr>
  </w:style>
  <w:style w:type="character" w:customStyle="1" w:styleId="af2">
    <w:name w:val="Нижній колонтитул Знак"/>
    <w:basedOn w:val="a0"/>
    <w:link w:val="af1"/>
    <w:uiPriority w:val="99"/>
    <w:rsid w:val="00EB429C"/>
    <w:rPr>
      <w:rFonts w:ascii="Times New Roman" w:eastAsia="Times New Roman" w:hAnsi="Times New Roman" w:cs="Times New Roman"/>
      <w:kern w:val="0"/>
      <w:lang w:val="ru-RU" w:eastAsia="ru-RU"/>
      <w14:ligatures w14:val="none"/>
    </w:rPr>
  </w:style>
  <w:style w:type="paragraph" w:styleId="HTML">
    <w:name w:val="HTML Preformatted"/>
    <w:aliases w:val=" Знак,Знак"/>
    <w:basedOn w:val="a"/>
    <w:link w:val="HTML0"/>
    <w:qFormat/>
    <w:rsid w:val="00F36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3"/>
      <w:szCs w:val="13"/>
    </w:rPr>
  </w:style>
  <w:style w:type="character" w:customStyle="1" w:styleId="HTML0">
    <w:name w:val="Стандартний HTML Знак"/>
    <w:aliases w:val=" Знак Знак,Знак Знак"/>
    <w:basedOn w:val="a0"/>
    <w:link w:val="HTML"/>
    <w:rsid w:val="00F360C1"/>
    <w:rPr>
      <w:rFonts w:ascii="Courier New" w:eastAsia="Times New Roman" w:hAnsi="Courier New" w:cs="Courier New"/>
      <w:color w:val="000000"/>
      <w:kern w:val="0"/>
      <w:sz w:val="13"/>
      <w:szCs w:val="13"/>
      <w:lang w:val="ru-RU" w:eastAsia="ru-RU"/>
      <w14:ligatures w14:val="none"/>
    </w:rPr>
  </w:style>
  <w:style w:type="table" w:customStyle="1" w:styleId="15">
    <w:name w:val="Сітка таблиці1"/>
    <w:basedOn w:val="a1"/>
    <w:next w:val="af3"/>
    <w:uiPriority w:val="59"/>
    <w:rsid w:val="00A06DD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A0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6870</Words>
  <Characters>3917</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vrip-1</dc:creator>
  <cp:keywords/>
  <dc:description/>
  <cp:lastModifiedBy>admin</cp:lastModifiedBy>
  <cp:revision>12</cp:revision>
  <dcterms:created xsi:type="dcterms:W3CDTF">2025-04-03T07:41:00Z</dcterms:created>
  <dcterms:modified xsi:type="dcterms:W3CDTF">2026-04-16T18:15:00Z</dcterms:modified>
</cp:coreProperties>
</file>