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1A455" w14:textId="77777777" w:rsidR="00A95855" w:rsidRPr="00422616" w:rsidRDefault="00A95855" w:rsidP="00422616">
      <w:pPr>
        <w:ind w:left="-142" w:firstLine="425"/>
        <w:jc w:val="center"/>
        <w:rPr>
          <w:b/>
          <w:bCs/>
          <w:lang w:val="uk-UA"/>
        </w:rPr>
      </w:pPr>
      <w:r w:rsidRPr="00422616">
        <w:rPr>
          <w:b/>
          <w:bCs/>
          <w:lang w:val="uk-UA"/>
        </w:rPr>
        <w:t>Коротка характеристика препарату</w:t>
      </w:r>
    </w:p>
    <w:p w14:paraId="60E8044B" w14:textId="77777777" w:rsidR="00AB7585" w:rsidRPr="00422616" w:rsidRDefault="00AB7585" w:rsidP="00422616">
      <w:pPr>
        <w:ind w:firstLine="425"/>
        <w:rPr>
          <w:lang w:val="uk-UA"/>
        </w:rPr>
      </w:pPr>
    </w:p>
    <w:p w14:paraId="623C8B5E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1. Назва</w:t>
      </w:r>
    </w:p>
    <w:p w14:paraId="47BB883D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bookmarkStart w:id="0" w:name="bookmark1"/>
      <w:r w:rsidRPr="00422616">
        <w:rPr>
          <w:lang w:eastAsia="en-US" w:bidi="en-US"/>
        </w:rPr>
        <w:t>ФЛОРТРИМ</w:t>
      </w: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 xml:space="preserve"> </w:t>
      </w:r>
    </w:p>
    <w:p w14:paraId="00666601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2. Склад</w:t>
      </w:r>
      <w:bookmarkEnd w:id="0"/>
    </w:p>
    <w:p w14:paraId="7363DFAB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bookmarkStart w:id="1" w:name="bookmark2"/>
      <w:r w:rsidRPr="00422616">
        <w:rPr>
          <w:lang w:bidi="en-US"/>
        </w:rPr>
        <w:t xml:space="preserve">1 мл препарату </w:t>
      </w:r>
      <w:proofErr w:type="spellStart"/>
      <w:r w:rsidRPr="00422616">
        <w:rPr>
          <w:lang w:bidi="en-US"/>
        </w:rPr>
        <w:t>містить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діючі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речовини</w:t>
      </w:r>
      <w:proofErr w:type="spellEnd"/>
      <w:r w:rsidRPr="00422616">
        <w:rPr>
          <w:lang w:bidi="en-US"/>
        </w:rPr>
        <w:t>:</w:t>
      </w:r>
    </w:p>
    <w:p w14:paraId="5988A2E0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proofErr w:type="spellStart"/>
      <w:r w:rsidRPr="00422616">
        <w:rPr>
          <w:lang w:bidi="en-US"/>
        </w:rPr>
        <w:t>енрофлоксацин</w:t>
      </w:r>
      <w:proofErr w:type="spellEnd"/>
      <w:r w:rsidRPr="00422616">
        <w:rPr>
          <w:lang w:bidi="en-US"/>
        </w:rPr>
        <w:t xml:space="preserve"> – 100 мг,</w:t>
      </w:r>
    </w:p>
    <w:p w14:paraId="69DD480F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proofErr w:type="spellStart"/>
      <w:r w:rsidRPr="00422616">
        <w:rPr>
          <w:lang w:bidi="en-US"/>
        </w:rPr>
        <w:t>триметоприм</w:t>
      </w:r>
      <w:proofErr w:type="spellEnd"/>
      <w:r w:rsidRPr="00422616">
        <w:rPr>
          <w:lang w:bidi="en-US"/>
        </w:rPr>
        <w:t xml:space="preserve"> – 50 мг.</w:t>
      </w:r>
    </w:p>
    <w:p w14:paraId="69225BBC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proofErr w:type="spellStart"/>
      <w:r w:rsidRPr="00422616">
        <w:rPr>
          <w:lang w:bidi="en-US"/>
        </w:rPr>
        <w:t>Допоміжні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речовини</w:t>
      </w:r>
      <w:proofErr w:type="spellEnd"/>
      <w:r w:rsidRPr="00422616">
        <w:rPr>
          <w:lang w:bidi="en-US"/>
        </w:rPr>
        <w:t>:</w:t>
      </w:r>
      <w:r w:rsidRPr="00422616">
        <w:rPr>
          <w:lang w:eastAsia="en-US" w:bidi="en-US"/>
        </w:rPr>
        <w:t xml:space="preserve"> спирт </w:t>
      </w:r>
      <w:proofErr w:type="spellStart"/>
      <w:r w:rsidRPr="00422616">
        <w:rPr>
          <w:lang w:eastAsia="en-US" w:bidi="en-US"/>
        </w:rPr>
        <w:t>бензиловий</w:t>
      </w:r>
      <w:proofErr w:type="spellEnd"/>
      <w:r w:rsidRPr="00422616">
        <w:rPr>
          <w:lang w:eastAsia="en-US" w:bidi="en-US"/>
        </w:rPr>
        <w:t xml:space="preserve">, </w:t>
      </w:r>
      <w:proofErr w:type="spellStart"/>
      <w:r w:rsidRPr="00422616">
        <w:rPr>
          <w:lang w:eastAsia="en-US" w:bidi="en-US"/>
        </w:rPr>
        <w:t>молочна</w:t>
      </w:r>
      <w:proofErr w:type="spellEnd"/>
      <w:r w:rsidRPr="00422616">
        <w:rPr>
          <w:lang w:eastAsia="en-US" w:bidi="en-US"/>
        </w:rPr>
        <w:t xml:space="preserve"> кислота, </w:t>
      </w:r>
      <w:proofErr w:type="spellStart"/>
      <w:r w:rsidRPr="00422616">
        <w:rPr>
          <w:lang w:eastAsia="en-US" w:bidi="en-US"/>
        </w:rPr>
        <w:t>динатрію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едетат</w:t>
      </w:r>
      <w:proofErr w:type="spellEnd"/>
      <w:r w:rsidRPr="00422616">
        <w:rPr>
          <w:lang w:eastAsia="en-US" w:bidi="en-US"/>
        </w:rPr>
        <w:t xml:space="preserve">, </w:t>
      </w:r>
      <w:proofErr w:type="spellStart"/>
      <w:r w:rsidRPr="00422616">
        <w:rPr>
          <w:lang w:eastAsia="en-US" w:bidi="en-US"/>
        </w:rPr>
        <w:t>калію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гідроксид</w:t>
      </w:r>
      <w:proofErr w:type="spellEnd"/>
      <w:r w:rsidRPr="00422616">
        <w:rPr>
          <w:lang w:bidi="en-US"/>
        </w:rPr>
        <w:t>, вода очищена.</w:t>
      </w:r>
    </w:p>
    <w:p w14:paraId="662637E7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3. Фармацевтична форма</w:t>
      </w:r>
      <w:bookmarkEnd w:id="1"/>
    </w:p>
    <w:p w14:paraId="633B7561" w14:textId="77777777" w:rsidR="007D2611" w:rsidRPr="00422616" w:rsidRDefault="007D2611" w:rsidP="00422616">
      <w:pPr>
        <w:widowControl w:val="0"/>
        <w:spacing w:line="276" w:lineRule="auto"/>
        <w:ind w:firstLine="709"/>
        <w:rPr>
          <w:color w:val="000000"/>
          <w:lang w:val="uk-UA" w:eastAsia="en-US" w:bidi="en-US"/>
        </w:rPr>
      </w:pPr>
      <w:r w:rsidRPr="00422616">
        <w:rPr>
          <w:color w:val="000000"/>
          <w:lang w:val="uk-UA" w:eastAsia="en-US" w:bidi="en-US"/>
        </w:rPr>
        <w:t>Розчин для перорального застосування</w:t>
      </w:r>
    </w:p>
    <w:p w14:paraId="7B12E99E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4. Фармакологічні властивості</w:t>
      </w:r>
    </w:p>
    <w:p w14:paraId="721D57D7" w14:textId="77777777" w:rsidR="000C4FA2" w:rsidRPr="00422616" w:rsidRDefault="000C4FA2" w:rsidP="00422616">
      <w:pPr>
        <w:spacing w:line="276" w:lineRule="auto"/>
        <w:ind w:firstLine="709"/>
        <w:jc w:val="both"/>
        <w:rPr>
          <w:b/>
          <w:i/>
          <w:lang w:val="uk-UA" w:bidi="en-US"/>
        </w:rPr>
      </w:pPr>
      <w:bookmarkStart w:id="2" w:name="bookmark4"/>
      <w:proofErr w:type="spellStart"/>
      <w:r w:rsidRPr="00422616">
        <w:rPr>
          <w:b/>
          <w:i/>
          <w:lang w:val="uk-UA" w:bidi="en-US"/>
        </w:rPr>
        <w:t>АТСvet</w:t>
      </w:r>
      <w:proofErr w:type="spellEnd"/>
      <w:r w:rsidRPr="00422616">
        <w:rPr>
          <w:b/>
          <w:i/>
          <w:lang w:val="uk-UA" w:bidi="en-US"/>
        </w:rPr>
        <w:t xml:space="preserve"> класифікаційний код QJ01 – антибактеріальні ветеринарні препарати для системного застосування. QJ01RA96 – </w:t>
      </w:r>
      <w:proofErr w:type="spellStart"/>
      <w:r w:rsidRPr="00422616">
        <w:rPr>
          <w:b/>
          <w:i/>
          <w:lang w:val="uk-UA" w:bidi="en-US"/>
        </w:rPr>
        <w:t>Хінолони</w:t>
      </w:r>
      <w:proofErr w:type="spellEnd"/>
      <w:r w:rsidRPr="00422616">
        <w:rPr>
          <w:b/>
          <w:i/>
          <w:lang w:val="uk-UA" w:bidi="en-US"/>
        </w:rPr>
        <w:t>, комбінації з іншими протимікробними препаратами.</w:t>
      </w:r>
    </w:p>
    <w:p w14:paraId="1F995B5F" w14:textId="109BC454" w:rsidR="007D2611" w:rsidRPr="00422616" w:rsidRDefault="007D2611" w:rsidP="00422616">
      <w:pPr>
        <w:spacing w:line="276" w:lineRule="auto"/>
        <w:ind w:firstLine="709"/>
        <w:jc w:val="both"/>
        <w:rPr>
          <w:lang w:val="uk-UA" w:bidi="en-US"/>
        </w:rPr>
      </w:pPr>
      <w:proofErr w:type="spellStart"/>
      <w:r w:rsidRPr="00422616">
        <w:rPr>
          <w:lang w:val="uk-UA" w:bidi="en-US"/>
        </w:rPr>
        <w:t>Енрофлоксацин</w:t>
      </w:r>
      <w:proofErr w:type="spellEnd"/>
      <w:r w:rsidRPr="00422616">
        <w:rPr>
          <w:lang w:val="uk-UA" w:bidi="en-US"/>
        </w:rPr>
        <w:t xml:space="preserve"> – антибіотик широкого спектру дії з групи </w:t>
      </w:r>
      <w:proofErr w:type="spellStart"/>
      <w:r w:rsidRPr="00422616">
        <w:rPr>
          <w:lang w:val="uk-UA" w:bidi="en-US"/>
        </w:rPr>
        <w:t>фторхінолонів</w:t>
      </w:r>
      <w:proofErr w:type="spellEnd"/>
      <w:r w:rsidRPr="00422616">
        <w:rPr>
          <w:lang w:val="uk-UA" w:bidi="en-US"/>
        </w:rPr>
        <w:t xml:space="preserve">. Препарат володіє протимікробною дією проти </w:t>
      </w:r>
      <w:proofErr w:type="spellStart"/>
      <w:r w:rsidRPr="00422616">
        <w:rPr>
          <w:lang w:val="uk-UA" w:bidi="en-US"/>
        </w:rPr>
        <w:t>грампозитивних</w:t>
      </w:r>
      <w:proofErr w:type="spellEnd"/>
      <w:r w:rsidRPr="00422616">
        <w:rPr>
          <w:lang w:val="uk-UA" w:bidi="en-US"/>
        </w:rPr>
        <w:t xml:space="preserve"> (</w:t>
      </w:r>
      <w:r w:rsidRPr="00422616">
        <w:rPr>
          <w:i/>
          <w:lang w:val="en-US" w:bidi="en-US"/>
        </w:rPr>
        <w:t>Staphylococcus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r w:rsidRPr="00422616">
        <w:rPr>
          <w:i/>
          <w:lang w:val="en-US" w:bidi="en-US"/>
        </w:rPr>
        <w:t>Streptococcus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r w:rsidRPr="00422616">
        <w:rPr>
          <w:i/>
          <w:lang w:val="en-US" w:bidi="en-US"/>
        </w:rPr>
        <w:t>Clostridium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r w:rsidRPr="00422616">
        <w:rPr>
          <w:i/>
          <w:lang w:val="en-US" w:bidi="en-US"/>
        </w:rPr>
        <w:t>Listeria</w:t>
      </w:r>
      <w:r w:rsidRPr="00422616">
        <w:rPr>
          <w:i/>
          <w:lang w:val="uk-UA" w:bidi="en-US"/>
        </w:rPr>
        <w:t xml:space="preserve"> </w:t>
      </w:r>
      <w:r w:rsidRPr="00422616">
        <w:rPr>
          <w:i/>
          <w:lang w:val="en-US" w:bidi="en-US"/>
        </w:rPr>
        <w:t>monocytogenes</w:t>
      </w:r>
      <w:r w:rsidRPr="00422616">
        <w:rPr>
          <w:i/>
          <w:lang w:val="uk-UA" w:bidi="en-US"/>
        </w:rPr>
        <w:t xml:space="preserve">, </w:t>
      </w:r>
      <w:proofErr w:type="spellStart"/>
      <w:r w:rsidRPr="00422616">
        <w:rPr>
          <w:i/>
          <w:lang w:val="en-US" w:bidi="en-US"/>
        </w:rPr>
        <w:t>Corinebacterium</w:t>
      </w:r>
      <w:proofErr w:type="spellEnd"/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>.)</w:t>
      </w:r>
      <w:r w:rsidRPr="00422616">
        <w:rPr>
          <w:lang w:val="uk-UA" w:bidi="en-US"/>
        </w:rPr>
        <w:t xml:space="preserve"> та </w:t>
      </w:r>
      <w:proofErr w:type="spellStart"/>
      <w:r w:rsidRPr="00422616">
        <w:rPr>
          <w:lang w:val="uk-UA" w:bidi="en-US"/>
        </w:rPr>
        <w:t>грамнегативних</w:t>
      </w:r>
      <w:proofErr w:type="spellEnd"/>
      <w:r w:rsidRPr="00422616">
        <w:rPr>
          <w:lang w:val="uk-UA" w:bidi="en-US"/>
        </w:rPr>
        <w:t xml:space="preserve"> (</w:t>
      </w:r>
      <w:r w:rsidRPr="00422616">
        <w:rPr>
          <w:i/>
          <w:lang w:val="en-US" w:bidi="en-US"/>
        </w:rPr>
        <w:t>Pseudomonas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r w:rsidRPr="00422616">
        <w:rPr>
          <w:i/>
          <w:lang w:val="en-US" w:bidi="en-US"/>
        </w:rPr>
        <w:t>E</w:t>
      </w:r>
      <w:r w:rsidRPr="00422616">
        <w:rPr>
          <w:i/>
          <w:lang w:val="uk-UA" w:bidi="en-US"/>
        </w:rPr>
        <w:t xml:space="preserve">. </w:t>
      </w:r>
      <w:r w:rsidRPr="00422616">
        <w:rPr>
          <w:i/>
          <w:lang w:val="en-US" w:bidi="en-US"/>
        </w:rPr>
        <w:t>coli</w:t>
      </w:r>
      <w:r w:rsidRPr="00422616">
        <w:rPr>
          <w:i/>
          <w:lang w:val="uk-UA" w:bidi="en-US"/>
        </w:rPr>
        <w:t xml:space="preserve">, </w:t>
      </w:r>
      <w:proofErr w:type="spellStart"/>
      <w:r w:rsidRPr="00422616">
        <w:rPr>
          <w:i/>
          <w:lang w:val="en-US" w:bidi="en-US"/>
        </w:rPr>
        <w:t>Haemophilus</w:t>
      </w:r>
      <w:proofErr w:type="spellEnd"/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r w:rsidRPr="00422616">
        <w:rPr>
          <w:i/>
          <w:lang w:val="en-US" w:bidi="en-US"/>
        </w:rPr>
        <w:t>Salmonella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proofErr w:type="spellStart"/>
      <w:r w:rsidRPr="00422616">
        <w:rPr>
          <w:i/>
          <w:lang w:val="en-US" w:bidi="en-US"/>
        </w:rPr>
        <w:t>Klebsiella</w:t>
      </w:r>
      <w:proofErr w:type="spellEnd"/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r w:rsidRPr="00422616">
        <w:rPr>
          <w:i/>
          <w:lang w:val="en-US" w:bidi="en-US"/>
        </w:rPr>
        <w:t>Proteus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 xml:space="preserve">., </w:t>
      </w:r>
      <w:proofErr w:type="spellStart"/>
      <w:r w:rsidRPr="00422616">
        <w:rPr>
          <w:i/>
          <w:lang w:val="en-US" w:bidi="en-US"/>
        </w:rPr>
        <w:t>Pasteurella</w:t>
      </w:r>
      <w:proofErr w:type="spellEnd"/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>.</w:t>
      </w:r>
      <w:r w:rsidRPr="00422616">
        <w:rPr>
          <w:lang w:val="uk-UA" w:bidi="en-US"/>
        </w:rPr>
        <w:t xml:space="preserve"> та інші) бактерій, а також діє на мікоплазми (</w:t>
      </w:r>
      <w:r w:rsidRPr="00422616">
        <w:rPr>
          <w:i/>
          <w:lang w:val="en-US" w:bidi="en-US"/>
        </w:rPr>
        <w:t>Mycoplasma</w:t>
      </w:r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>.)</w:t>
      </w:r>
      <w:r w:rsidRPr="00422616">
        <w:rPr>
          <w:lang w:val="uk-UA" w:bidi="en-US"/>
        </w:rPr>
        <w:t xml:space="preserve"> і </w:t>
      </w:r>
      <w:proofErr w:type="spellStart"/>
      <w:r w:rsidRPr="00422616">
        <w:rPr>
          <w:lang w:val="uk-UA" w:bidi="en-US"/>
        </w:rPr>
        <w:t>хламідії</w:t>
      </w:r>
      <w:proofErr w:type="spellEnd"/>
      <w:r w:rsidRPr="00422616">
        <w:rPr>
          <w:lang w:val="uk-UA" w:bidi="en-US"/>
        </w:rPr>
        <w:t xml:space="preserve"> (</w:t>
      </w:r>
      <w:proofErr w:type="spellStart"/>
      <w:r w:rsidRPr="00422616">
        <w:rPr>
          <w:i/>
          <w:lang w:val="en-US" w:bidi="en-US"/>
        </w:rPr>
        <w:t>Chlamidia</w:t>
      </w:r>
      <w:proofErr w:type="spellEnd"/>
      <w:r w:rsidRPr="00422616">
        <w:rPr>
          <w:i/>
          <w:lang w:val="uk-UA"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val="uk-UA" w:bidi="en-US"/>
        </w:rPr>
        <w:t>.)</w:t>
      </w:r>
      <w:r w:rsidRPr="00422616">
        <w:rPr>
          <w:lang w:val="uk-UA" w:bidi="en-US"/>
        </w:rPr>
        <w:t>. Механізм дії пов’язаний із пригніченням бактеріальної ДНК-</w:t>
      </w:r>
      <w:proofErr w:type="spellStart"/>
      <w:r w:rsidRPr="00422616">
        <w:rPr>
          <w:lang w:val="uk-UA" w:bidi="en-US"/>
        </w:rPr>
        <w:t>гірази</w:t>
      </w:r>
      <w:proofErr w:type="spellEnd"/>
      <w:r w:rsidRPr="00422616">
        <w:rPr>
          <w:lang w:val="uk-UA" w:bidi="en-US"/>
        </w:rPr>
        <w:t>, що призводить до порушення реплікації ДНК бактерій.</w:t>
      </w:r>
    </w:p>
    <w:p w14:paraId="5953007C" w14:textId="7439C078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proofErr w:type="spellStart"/>
      <w:r w:rsidRPr="00422616">
        <w:rPr>
          <w:lang w:bidi="en-US"/>
        </w:rPr>
        <w:t>Триметоприм</w:t>
      </w:r>
      <w:proofErr w:type="spellEnd"/>
      <w:r w:rsidRPr="00422616">
        <w:rPr>
          <w:lang w:bidi="en-US"/>
        </w:rPr>
        <w:t xml:space="preserve"> – </w:t>
      </w:r>
      <w:proofErr w:type="spellStart"/>
      <w:r w:rsidRPr="00422616">
        <w:rPr>
          <w:lang w:bidi="en-US"/>
        </w:rPr>
        <w:t>протимікробний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засіб</w:t>
      </w:r>
      <w:proofErr w:type="spellEnd"/>
      <w:r w:rsidRPr="00422616">
        <w:rPr>
          <w:lang w:bidi="en-US"/>
        </w:rPr>
        <w:t xml:space="preserve"> широкого спектру </w:t>
      </w:r>
      <w:proofErr w:type="spellStart"/>
      <w:r w:rsidRPr="00422616">
        <w:rPr>
          <w:lang w:bidi="en-US"/>
        </w:rPr>
        <w:t>дії</w:t>
      </w:r>
      <w:proofErr w:type="spellEnd"/>
      <w:r w:rsidRPr="00422616">
        <w:rPr>
          <w:lang w:bidi="en-US"/>
        </w:rPr>
        <w:t xml:space="preserve"> з </w:t>
      </w:r>
      <w:proofErr w:type="spellStart"/>
      <w:r w:rsidRPr="00422616">
        <w:rPr>
          <w:lang w:bidi="en-US"/>
        </w:rPr>
        <w:t>групи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діамінопіримідинів</w:t>
      </w:r>
      <w:proofErr w:type="spellEnd"/>
      <w:r w:rsidRPr="00422616">
        <w:rPr>
          <w:lang w:bidi="en-US"/>
        </w:rPr>
        <w:t xml:space="preserve">. Препарат </w:t>
      </w:r>
      <w:proofErr w:type="spellStart"/>
      <w:r w:rsidRPr="00422616">
        <w:rPr>
          <w:lang w:bidi="en-US"/>
        </w:rPr>
        <w:t>володіє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протимікробною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дією</w:t>
      </w:r>
      <w:proofErr w:type="spellEnd"/>
      <w:r w:rsidRPr="00422616">
        <w:rPr>
          <w:lang w:bidi="en-US"/>
        </w:rPr>
        <w:t xml:space="preserve"> у </w:t>
      </w:r>
      <w:proofErr w:type="spellStart"/>
      <w:r w:rsidRPr="00422616">
        <w:rPr>
          <w:lang w:bidi="en-US"/>
        </w:rPr>
        <w:t>відношенні</w:t>
      </w:r>
      <w:proofErr w:type="spellEnd"/>
      <w:r w:rsidRPr="00422616">
        <w:rPr>
          <w:lang w:bidi="en-US"/>
        </w:rPr>
        <w:t xml:space="preserve"> до </w:t>
      </w:r>
      <w:proofErr w:type="spellStart"/>
      <w:r w:rsidRPr="00422616">
        <w:rPr>
          <w:lang w:bidi="en-US"/>
        </w:rPr>
        <w:t>грампозитивних</w:t>
      </w:r>
      <w:proofErr w:type="spellEnd"/>
      <w:r w:rsidRPr="00422616">
        <w:rPr>
          <w:lang w:bidi="en-US"/>
        </w:rPr>
        <w:t xml:space="preserve"> (</w:t>
      </w:r>
      <w:r w:rsidRPr="00422616">
        <w:rPr>
          <w:i/>
          <w:lang w:val="en-US" w:bidi="en-US"/>
        </w:rPr>
        <w:t>Staphylococcus</w:t>
      </w:r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.; </w:t>
      </w:r>
      <w:r w:rsidRPr="00422616">
        <w:rPr>
          <w:i/>
          <w:lang w:val="en-US" w:bidi="en-US"/>
        </w:rPr>
        <w:t>Streptococcus</w:t>
      </w:r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lang w:bidi="en-US"/>
        </w:rPr>
        <w:t xml:space="preserve">.) та </w:t>
      </w:r>
      <w:proofErr w:type="spellStart"/>
      <w:r w:rsidRPr="00422616">
        <w:rPr>
          <w:lang w:bidi="en-US"/>
        </w:rPr>
        <w:t>грамнегативних</w:t>
      </w:r>
      <w:proofErr w:type="spellEnd"/>
      <w:r w:rsidRPr="00422616">
        <w:rPr>
          <w:lang w:bidi="en-US"/>
        </w:rPr>
        <w:t xml:space="preserve"> (</w:t>
      </w:r>
      <w:r w:rsidRPr="00422616">
        <w:rPr>
          <w:i/>
          <w:lang w:val="en-US" w:bidi="en-US"/>
        </w:rPr>
        <w:t>Escherichia</w:t>
      </w:r>
      <w:r w:rsidRPr="00422616">
        <w:rPr>
          <w:i/>
          <w:lang w:bidi="en-US"/>
        </w:rPr>
        <w:t xml:space="preserve"> </w:t>
      </w:r>
      <w:r w:rsidRPr="00422616">
        <w:rPr>
          <w:i/>
          <w:lang w:val="en-US" w:bidi="en-US"/>
        </w:rPr>
        <w:t>coli</w:t>
      </w:r>
      <w:r w:rsidRPr="00422616">
        <w:rPr>
          <w:i/>
          <w:lang w:bidi="en-US"/>
        </w:rPr>
        <w:t xml:space="preserve">, </w:t>
      </w:r>
      <w:proofErr w:type="spellStart"/>
      <w:r w:rsidRPr="00422616">
        <w:rPr>
          <w:i/>
          <w:lang w:val="en-US" w:bidi="en-US"/>
        </w:rPr>
        <w:t>Klebsiella</w:t>
      </w:r>
      <w:proofErr w:type="spellEnd"/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., </w:t>
      </w:r>
      <w:r w:rsidRPr="00422616">
        <w:rPr>
          <w:i/>
          <w:lang w:val="en-US" w:bidi="en-US"/>
        </w:rPr>
        <w:t>Salmonella</w:t>
      </w:r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.; </w:t>
      </w:r>
      <w:proofErr w:type="spellStart"/>
      <w:r w:rsidRPr="00422616">
        <w:rPr>
          <w:i/>
          <w:lang w:val="en-US" w:bidi="en-US"/>
        </w:rPr>
        <w:t>Pasteurella</w:t>
      </w:r>
      <w:proofErr w:type="spellEnd"/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.; </w:t>
      </w:r>
      <w:r w:rsidRPr="00422616">
        <w:rPr>
          <w:i/>
          <w:lang w:val="en-US" w:bidi="en-US"/>
        </w:rPr>
        <w:t>Enterobacter</w:t>
      </w:r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., </w:t>
      </w:r>
      <w:r w:rsidRPr="00422616">
        <w:rPr>
          <w:i/>
          <w:lang w:val="en-US" w:bidi="en-US"/>
        </w:rPr>
        <w:t>Proteus</w:t>
      </w:r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.; </w:t>
      </w:r>
      <w:proofErr w:type="spellStart"/>
      <w:r w:rsidRPr="00422616">
        <w:rPr>
          <w:i/>
          <w:lang w:val="en-US" w:bidi="en-US"/>
        </w:rPr>
        <w:t>Shigella</w:t>
      </w:r>
      <w:proofErr w:type="spellEnd"/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.; </w:t>
      </w:r>
      <w:proofErr w:type="spellStart"/>
      <w:r w:rsidRPr="00422616">
        <w:rPr>
          <w:i/>
          <w:lang w:val="en-US" w:bidi="en-US"/>
        </w:rPr>
        <w:t>Haemophilus</w:t>
      </w:r>
      <w:proofErr w:type="spellEnd"/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 xml:space="preserve">.; </w:t>
      </w:r>
      <w:proofErr w:type="spellStart"/>
      <w:r w:rsidRPr="00422616">
        <w:rPr>
          <w:i/>
          <w:lang w:val="en-US" w:bidi="en-US"/>
        </w:rPr>
        <w:t>Chlamidia</w:t>
      </w:r>
      <w:proofErr w:type="spellEnd"/>
      <w:r w:rsidRPr="00422616">
        <w:rPr>
          <w:i/>
          <w:lang w:bidi="en-US"/>
        </w:rPr>
        <w:t xml:space="preserve"> </w:t>
      </w:r>
      <w:proofErr w:type="spellStart"/>
      <w:r w:rsidRPr="00422616">
        <w:rPr>
          <w:i/>
          <w:lang w:val="en-US" w:bidi="en-US"/>
        </w:rPr>
        <w:t>spp</w:t>
      </w:r>
      <w:proofErr w:type="spellEnd"/>
      <w:r w:rsidRPr="00422616">
        <w:rPr>
          <w:i/>
          <w:lang w:bidi="en-US"/>
        </w:rPr>
        <w:t>.</w:t>
      </w:r>
      <w:r w:rsidRPr="00422616">
        <w:rPr>
          <w:lang w:bidi="en-US"/>
        </w:rPr>
        <w:t xml:space="preserve">) </w:t>
      </w:r>
      <w:proofErr w:type="spellStart"/>
      <w:r w:rsidRPr="00422616">
        <w:rPr>
          <w:lang w:bidi="en-US"/>
        </w:rPr>
        <w:t>мікроорганізмів</w:t>
      </w:r>
      <w:proofErr w:type="spellEnd"/>
      <w:r w:rsidRPr="00422616">
        <w:rPr>
          <w:lang w:bidi="en-US"/>
        </w:rPr>
        <w:t xml:space="preserve">, а </w:t>
      </w:r>
      <w:proofErr w:type="spellStart"/>
      <w:r w:rsidRPr="00422616">
        <w:rPr>
          <w:lang w:bidi="en-US"/>
        </w:rPr>
        <w:t>також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діє</w:t>
      </w:r>
      <w:proofErr w:type="spellEnd"/>
      <w:r w:rsidRPr="00422616">
        <w:rPr>
          <w:lang w:bidi="en-US"/>
        </w:rPr>
        <w:t xml:space="preserve"> на </w:t>
      </w:r>
      <w:proofErr w:type="spellStart"/>
      <w:r w:rsidR="00422616" w:rsidRPr="00422616">
        <w:rPr>
          <w:i/>
        </w:rPr>
        <w:t>Toxoplasma</w:t>
      </w:r>
      <w:proofErr w:type="spellEnd"/>
      <w:r w:rsidR="00422616" w:rsidRPr="00422616">
        <w:rPr>
          <w:i/>
        </w:rPr>
        <w:t xml:space="preserve"> </w:t>
      </w:r>
      <w:proofErr w:type="spellStart"/>
      <w:r w:rsidR="00422616" w:rsidRPr="00422616">
        <w:rPr>
          <w:i/>
        </w:rPr>
        <w:t>gondii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Механізм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дії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пов’язаний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із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пригніченням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бактеріальної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редуктази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дигідрофолієвої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кислоти</w:t>
      </w:r>
      <w:proofErr w:type="spellEnd"/>
      <w:r w:rsidRPr="00422616">
        <w:rPr>
          <w:lang w:bidi="en-US"/>
        </w:rPr>
        <w:t>.</w:t>
      </w:r>
    </w:p>
    <w:p w14:paraId="60467EFE" w14:textId="35AEC81C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proofErr w:type="spellStart"/>
      <w:r w:rsidRPr="00422616">
        <w:rPr>
          <w:lang w:bidi="en-US"/>
        </w:rPr>
        <w:t>Енрофлоксацин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швидко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всмоктується</w:t>
      </w:r>
      <w:proofErr w:type="spellEnd"/>
      <w:r w:rsidRPr="00422616">
        <w:rPr>
          <w:lang w:bidi="en-US"/>
        </w:rPr>
        <w:t xml:space="preserve"> з травного каналу, добре </w:t>
      </w:r>
      <w:proofErr w:type="spellStart"/>
      <w:r w:rsidRPr="00422616">
        <w:rPr>
          <w:lang w:bidi="en-US"/>
        </w:rPr>
        <w:t>розподіляється</w:t>
      </w:r>
      <w:proofErr w:type="spellEnd"/>
      <w:r w:rsidRPr="00422616">
        <w:rPr>
          <w:lang w:bidi="en-US"/>
        </w:rPr>
        <w:t xml:space="preserve"> по </w:t>
      </w:r>
      <w:proofErr w:type="spellStart"/>
      <w:r w:rsidRPr="00422616">
        <w:rPr>
          <w:lang w:bidi="en-US"/>
        </w:rPr>
        <w:t>всіх</w:t>
      </w:r>
      <w:proofErr w:type="spellEnd"/>
      <w:r w:rsidRPr="00422616">
        <w:rPr>
          <w:lang w:bidi="en-US"/>
        </w:rPr>
        <w:t xml:space="preserve"> тканинах і </w:t>
      </w:r>
      <w:proofErr w:type="spellStart"/>
      <w:r w:rsidRPr="00422616">
        <w:rPr>
          <w:lang w:bidi="en-US"/>
        </w:rPr>
        <w:t>рідинах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організму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Вже</w:t>
      </w:r>
      <w:proofErr w:type="spellEnd"/>
      <w:r w:rsidRPr="00422616">
        <w:rPr>
          <w:lang w:bidi="en-US"/>
        </w:rPr>
        <w:t xml:space="preserve"> через 60-120 </w:t>
      </w:r>
      <w:proofErr w:type="spellStart"/>
      <w:r w:rsidRPr="00422616">
        <w:rPr>
          <w:lang w:bidi="en-US"/>
        </w:rPr>
        <w:t>хвилин</w:t>
      </w:r>
      <w:proofErr w:type="spellEnd"/>
      <w:r w:rsidRPr="00422616">
        <w:rPr>
          <w:lang w:bidi="en-US"/>
        </w:rPr>
        <w:t xml:space="preserve"> </w:t>
      </w:r>
      <w:proofErr w:type="gramStart"/>
      <w:r w:rsidRPr="00422616">
        <w:rPr>
          <w:lang w:bidi="en-US"/>
        </w:rPr>
        <w:t>у</w:t>
      </w:r>
      <w:proofErr w:type="gram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крові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досягається</w:t>
      </w:r>
      <w:proofErr w:type="spellEnd"/>
      <w:r w:rsidRPr="00422616">
        <w:rPr>
          <w:lang w:bidi="en-US"/>
        </w:rPr>
        <w:t xml:space="preserve"> максимальна </w:t>
      </w:r>
      <w:proofErr w:type="spellStart"/>
      <w:r w:rsidRPr="00422616">
        <w:rPr>
          <w:lang w:bidi="en-US"/>
        </w:rPr>
        <w:t>концентрація</w:t>
      </w:r>
      <w:proofErr w:type="spellEnd"/>
      <w:r w:rsidRPr="00422616">
        <w:rPr>
          <w:lang w:bidi="en-US"/>
        </w:rPr>
        <w:t xml:space="preserve"> препарату. </w:t>
      </w:r>
      <w:proofErr w:type="spellStart"/>
      <w:r w:rsidRPr="00422616">
        <w:rPr>
          <w:lang w:bidi="en-US"/>
        </w:rPr>
        <w:t>Наявність</w:t>
      </w:r>
      <w:proofErr w:type="spellEnd"/>
      <w:r w:rsidRPr="00422616">
        <w:rPr>
          <w:lang w:bidi="en-US"/>
        </w:rPr>
        <w:t xml:space="preserve"> корму в </w:t>
      </w:r>
      <w:proofErr w:type="spellStart"/>
      <w:r w:rsidRPr="00422616">
        <w:rPr>
          <w:lang w:bidi="en-US"/>
        </w:rPr>
        <w:t>шлунку</w:t>
      </w:r>
      <w:proofErr w:type="spellEnd"/>
      <w:r w:rsidRPr="00422616">
        <w:rPr>
          <w:lang w:bidi="en-US"/>
        </w:rPr>
        <w:t xml:space="preserve"> не </w:t>
      </w:r>
      <w:proofErr w:type="spellStart"/>
      <w:r w:rsidRPr="00422616">
        <w:rPr>
          <w:lang w:bidi="en-US"/>
        </w:rPr>
        <w:t>впливає</w:t>
      </w:r>
      <w:proofErr w:type="spellEnd"/>
      <w:r w:rsidRPr="00422616">
        <w:rPr>
          <w:lang w:bidi="en-US"/>
        </w:rPr>
        <w:t xml:space="preserve"> на </w:t>
      </w:r>
      <w:proofErr w:type="spellStart"/>
      <w:r w:rsidRPr="00422616">
        <w:rPr>
          <w:lang w:bidi="en-US"/>
        </w:rPr>
        <w:t>ступінь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абсорбції</w:t>
      </w:r>
      <w:proofErr w:type="spellEnd"/>
      <w:r w:rsidRPr="00422616">
        <w:rPr>
          <w:lang w:bidi="en-US"/>
        </w:rPr>
        <w:t xml:space="preserve"> препарату. </w:t>
      </w:r>
      <w:proofErr w:type="spellStart"/>
      <w:r w:rsidRPr="00422616">
        <w:rPr>
          <w:lang w:bidi="en-US"/>
        </w:rPr>
        <w:t>Зв’язування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енрофлоксацину</w:t>
      </w:r>
      <w:proofErr w:type="spellEnd"/>
      <w:r w:rsidRPr="00422616">
        <w:rPr>
          <w:lang w:bidi="en-US"/>
        </w:rPr>
        <w:t xml:space="preserve"> з </w:t>
      </w:r>
      <w:proofErr w:type="spellStart"/>
      <w:r w:rsidRPr="00422616">
        <w:rPr>
          <w:lang w:bidi="en-US"/>
        </w:rPr>
        <w:t>білками</w:t>
      </w:r>
      <w:proofErr w:type="spellEnd"/>
      <w:r w:rsidRPr="00422616">
        <w:rPr>
          <w:lang w:bidi="en-US"/>
        </w:rPr>
        <w:t xml:space="preserve"> </w:t>
      </w:r>
      <w:r w:rsidR="00AE0111" w:rsidRPr="00422616">
        <w:rPr>
          <w:lang w:val="uk-UA" w:bidi="en-US"/>
        </w:rPr>
        <w:t xml:space="preserve">крові </w:t>
      </w:r>
      <w:r w:rsidRPr="00422616">
        <w:rPr>
          <w:lang w:bidi="en-US"/>
        </w:rPr>
        <w:t xml:space="preserve">становить 24±2%. </w:t>
      </w:r>
      <w:r w:rsidR="00AE0111" w:rsidRPr="00422616">
        <w:rPr>
          <w:lang w:val="uk-UA" w:bidi="en-US"/>
        </w:rPr>
        <w:t xml:space="preserve">Максимальні </w:t>
      </w:r>
      <w:proofErr w:type="spellStart"/>
      <w:r w:rsidRPr="00422616">
        <w:rPr>
          <w:lang w:bidi="en-US"/>
        </w:rPr>
        <w:t>концентрації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енрофлоксацину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досягаються</w:t>
      </w:r>
      <w:proofErr w:type="spellEnd"/>
      <w:r w:rsidRPr="00422616">
        <w:rPr>
          <w:lang w:bidi="en-US"/>
        </w:rPr>
        <w:t xml:space="preserve"> </w:t>
      </w:r>
      <w:r w:rsidR="007561E6" w:rsidRPr="00422616">
        <w:rPr>
          <w:lang w:val="uk-UA" w:bidi="en-US"/>
        </w:rPr>
        <w:t>в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жовчі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нирках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печінці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легенях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репродуктивних</w:t>
      </w:r>
      <w:proofErr w:type="spellEnd"/>
      <w:r w:rsidRPr="00422616">
        <w:rPr>
          <w:lang w:bidi="en-US"/>
        </w:rPr>
        <w:t xml:space="preserve"> органах. </w:t>
      </w:r>
      <w:proofErr w:type="spellStart"/>
      <w:r w:rsidRPr="00422616">
        <w:rPr>
          <w:lang w:bidi="en-US"/>
        </w:rPr>
        <w:t>Екскреція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енрофлоксацину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відбувається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переважно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нирками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Метаболіти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виводяться</w:t>
      </w:r>
      <w:proofErr w:type="spellEnd"/>
      <w:r w:rsidRPr="00422616">
        <w:rPr>
          <w:lang w:bidi="en-US"/>
        </w:rPr>
        <w:t xml:space="preserve"> з сечею та </w:t>
      </w:r>
      <w:proofErr w:type="spellStart"/>
      <w:r w:rsidRPr="00422616">
        <w:rPr>
          <w:lang w:bidi="en-US"/>
        </w:rPr>
        <w:t>фекаліями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Період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напіввиведення</w:t>
      </w:r>
      <w:proofErr w:type="spellEnd"/>
      <w:r w:rsidRPr="00422616">
        <w:rPr>
          <w:lang w:bidi="en-US"/>
        </w:rPr>
        <w:t xml:space="preserve"> становить 24 </w:t>
      </w:r>
      <w:proofErr w:type="spellStart"/>
      <w:r w:rsidRPr="00422616">
        <w:rPr>
          <w:lang w:bidi="en-US"/>
        </w:rPr>
        <w:t>години</w:t>
      </w:r>
      <w:proofErr w:type="spellEnd"/>
      <w:r w:rsidRPr="00422616">
        <w:rPr>
          <w:lang w:bidi="en-US"/>
        </w:rPr>
        <w:t>.</w:t>
      </w:r>
    </w:p>
    <w:p w14:paraId="0B82D056" w14:textId="6C188CEC" w:rsidR="007D2611" w:rsidRDefault="007D2611" w:rsidP="00422616">
      <w:pPr>
        <w:spacing w:line="276" w:lineRule="auto"/>
        <w:ind w:firstLine="709"/>
        <w:jc w:val="both"/>
        <w:rPr>
          <w:lang w:val="uk-UA" w:bidi="en-US"/>
        </w:rPr>
      </w:pPr>
      <w:proofErr w:type="spellStart"/>
      <w:r w:rsidRPr="00422616">
        <w:rPr>
          <w:lang w:bidi="en-US"/>
        </w:rPr>
        <w:t>Триметоприм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швидко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всмоктується</w:t>
      </w:r>
      <w:proofErr w:type="spellEnd"/>
      <w:r w:rsidRPr="00422616">
        <w:rPr>
          <w:lang w:bidi="en-US"/>
        </w:rPr>
        <w:t xml:space="preserve"> з травного каналу, добре </w:t>
      </w:r>
      <w:proofErr w:type="spellStart"/>
      <w:r w:rsidRPr="00422616">
        <w:rPr>
          <w:lang w:bidi="en-US"/>
        </w:rPr>
        <w:t>розподіляється</w:t>
      </w:r>
      <w:proofErr w:type="spellEnd"/>
      <w:r w:rsidRPr="00422616">
        <w:rPr>
          <w:lang w:bidi="en-US"/>
        </w:rPr>
        <w:t xml:space="preserve"> по </w:t>
      </w:r>
      <w:proofErr w:type="spellStart"/>
      <w:r w:rsidRPr="00422616">
        <w:rPr>
          <w:lang w:bidi="en-US"/>
        </w:rPr>
        <w:t>всіх</w:t>
      </w:r>
      <w:proofErr w:type="spellEnd"/>
      <w:r w:rsidRPr="00422616">
        <w:rPr>
          <w:lang w:bidi="en-US"/>
        </w:rPr>
        <w:t xml:space="preserve"> тканинах і </w:t>
      </w:r>
      <w:proofErr w:type="spellStart"/>
      <w:r w:rsidRPr="00422616">
        <w:rPr>
          <w:lang w:bidi="en-US"/>
        </w:rPr>
        <w:t>рідинах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організму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Концентрації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триметоприму</w:t>
      </w:r>
      <w:proofErr w:type="spellEnd"/>
      <w:r w:rsidRPr="00422616">
        <w:rPr>
          <w:lang w:bidi="en-US"/>
        </w:rPr>
        <w:t xml:space="preserve"> в тканинах </w:t>
      </w:r>
      <w:proofErr w:type="spellStart"/>
      <w:r w:rsidRPr="00422616">
        <w:rPr>
          <w:lang w:bidi="en-US"/>
        </w:rPr>
        <w:t>звичайно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вищі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ніж</w:t>
      </w:r>
      <w:proofErr w:type="spellEnd"/>
      <w:r w:rsidRPr="00422616">
        <w:rPr>
          <w:lang w:bidi="en-US"/>
        </w:rPr>
        <w:t xml:space="preserve"> у </w:t>
      </w:r>
      <w:proofErr w:type="spellStart"/>
      <w:r w:rsidRPr="00422616">
        <w:rPr>
          <w:lang w:bidi="en-US"/>
        </w:rPr>
        <w:t>крові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Високі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рівн</w:t>
      </w:r>
      <w:r w:rsidR="007561E6" w:rsidRPr="00422616">
        <w:rPr>
          <w:lang w:bidi="en-US"/>
        </w:rPr>
        <w:t>і</w:t>
      </w:r>
      <w:proofErr w:type="spellEnd"/>
      <w:r w:rsidR="007561E6" w:rsidRPr="00422616">
        <w:rPr>
          <w:lang w:bidi="en-US"/>
        </w:rPr>
        <w:t xml:space="preserve"> </w:t>
      </w:r>
      <w:proofErr w:type="spellStart"/>
      <w:r w:rsidR="007561E6" w:rsidRPr="00422616">
        <w:rPr>
          <w:lang w:bidi="en-US"/>
        </w:rPr>
        <w:t>триметоприму</w:t>
      </w:r>
      <w:proofErr w:type="spellEnd"/>
      <w:r w:rsidR="007561E6" w:rsidRPr="00422616">
        <w:rPr>
          <w:lang w:bidi="en-US"/>
        </w:rPr>
        <w:t xml:space="preserve"> </w:t>
      </w:r>
      <w:proofErr w:type="spellStart"/>
      <w:r w:rsidR="007561E6" w:rsidRPr="00422616">
        <w:rPr>
          <w:lang w:bidi="en-US"/>
        </w:rPr>
        <w:t>спостерігаються</w:t>
      </w:r>
      <w:proofErr w:type="spellEnd"/>
      <w:r w:rsidR="007561E6" w:rsidRPr="00422616">
        <w:rPr>
          <w:lang w:bidi="en-US"/>
        </w:rPr>
        <w:t xml:space="preserve"> </w:t>
      </w:r>
      <w:r w:rsidR="007561E6" w:rsidRPr="00422616">
        <w:rPr>
          <w:lang w:val="uk-UA" w:bidi="en-US"/>
        </w:rPr>
        <w:t>в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легенях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нирках</w:t>
      </w:r>
      <w:proofErr w:type="spellEnd"/>
      <w:r w:rsidRPr="00422616">
        <w:rPr>
          <w:lang w:bidi="en-US"/>
        </w:rPr>
        <w:t xml:space="preserve"> та </w:t>
      </w:r>
      <w:proofErr w:type="spellStart"/>
      <w:r w:rsidRPr="00422616">
        <w:rPr>
          <w:lang w:bidi="en-US"/>
        </w:rPr>
        <w:t>печінці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Концентрація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триметоприму</w:t>
      </w:r>
      <w:proofErr w:type="spellEnd"/>
      <w:r w:rsidRPr="00422616">
        <w:rPr>
          <w:lang w:bidi="en-US"/>
        </w:rPr>
        <w:t xml:space="preserve"> в </w:t>
      </w:r>
      <w:proofErr w:type="spellStart"/>
      <w:r w:rsidRPr="00422616">
        <w:rPr>
          <w:lang w:bidi="en-US"/>
        </w:rPr>
        <w:t>сироватці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крові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досягає</w:t>
      </w:r>
      <w:proofErr w:type="spellEnd"/>
      <w:r w:rsidRPr="00422616">
        <w:rPr>
          <w:lang w:bidi="en-US"/>
        </w:rPr>
        <w:t xml:space="preserve"> максимуму через 1,5 </w:t>
      </w:r>
      <w:proofErr w:type="spellStart"/>
      <w:r w:rsidRPr="00422616">
        <w:rPr>
          <w:lang w:bidi="en-US"/>
        </w:rPr>
        <w:t>години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після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введення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Середній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період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напіввиведення</w:t>
      </w:r>
      <w:proofErr w:type="spellEnd"/>
      <w:r w:rsidRPr="00422616">
        <w:rPr>
          <w:lang w:bidi="en-US"/>
        </w:rPr>
        <w:t xml:space="preserve"> становить </w:t>
      </w:r>
      <w:proofErr w:type="spellStart"/>
      <w:r w:rsidRPr="00422616">
        <w:rPr>
          <w:lang w:bidi="en-US"/>
        </w:rPr>
        <w:t>близько</w:t>
      </w:r>
      <w:proofErr w:type="spellEnd"/>
      <w:r w:rsidRPr="00422616">
        <w:rPr>
          <w:lang w:bidi="en-US"/>
        </w:rPr>
        <w:t xml:space="preserve"> 2,5 </w:t>
      </w:r>
      <w:proofErr w:type="spellStart"/>
      <w:r w:rsidRPr="00422616">
        <w:rPr>
          <w:lang w:bidi="en-US"/>
        </w:rPr>
        <w:t>години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Екскреція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триметоприму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відбувається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головним</w:t>
      </w:r>
      <w:proofErr w:type="spellEnd"/>
      <w:r w:rsidRPr="00422616">
        <w:rPr>
          <w:lang w:bidi="en-US"/>
        </w:rPr>
        <w:t xml:space="preserve"> чином, </w:t>
      </w:r>
      <w:proofErr w:type="spellStart"/>
      <w:r w:rsidRPr="00422616">
        <w:rPr>
          <w:lang w:bidi="en-US"/>
        </w:rPr>
        <w:t>нирками</w:t>
      </w:r>
      <w:proofErr w:type="spellEnd"/>
      <w:r w:rsidRPr="00422616">
        <w:rPr>
          <w:lang w:bidi="en-US"/>
        </w:rPr>
        <w:t xml:space="preserve">. </w:t>
      </w:r>
      <w:proofErr w:type="spellStart"/>
      <w:r w:rsidRPr="00422616">
        <w:rPr>
          <w:lang w:bidi="en-US"/>
        </w:rPr>
        <w:t>Ко</w:t>
      </w:r>
      <w:r w:rsidR="007561E6" w:rsidRPr="00422616">
        <w:rPr>
          <w:lang w:bidi="en-US"/>
        </w:rPr>
        <w:t>нцентрація</w:t>
      </w:r>
      <w:proofErr w:type="spellEnd"/>
      <w:r w:rsidR="007561E6" w:rsidRPr="00422616">
        <w:rPr>
          <w:lang w:bidi="en-US"/>
        </w:rPr>
        <w:t xml:space="preserve"> </w:t>
      </w:r>
      <w:proofErr w:type="spellStart"/>
      <w:r w:rsidR="007561E6" w:rsidRPr="00422616">
        <w:rPr>
          <w:lang w:bidi="en-US"/>
        </w:rPr>
        <w:t>триметоприму</w:t>
      </w:r>
      <w:proofErr w:type="spellEnd"/>
      <w:r w:rsidR="007561E6" w:rsidRPr="00422616">
        <w:rPr>
          <w:lang w:bidi="en-US"/>
        </w:rPr>
        <w:t xml:space="preserve"> </w:t>
      </w:r>
      <w:proofErr w:type="gramStart"/>
      <w:r w:rsidR="007561E6" w:rsidRPr="00422616">
        <w:rPr>
          <w:lang w:bidi="en-US"/>
        </w:rPr>
        <w:t>в</w:t>
      </w:r>
      <w:proofErr w:type="gramEnd"/>
      <w:r w:rsidR="007561E6" w:rsidRPr="00422616">
        <w:rPr>
          <w:lang w:bidi="en-US"/>
        </w:rPr>
        <w:t xml:space="preserve"> </w:t>
      </w:r>
      <w:proofErr w:type="spellStart"/>
      <w:proofErr w:type="gramStart"/>
      <w:r w:rsidR="007561E6" w:rsidRPr="00422616">
        <w:rPr>
          <w:lang w:bidi="en-US"/>
        </w:rPr>
        <w:t>сеч</w:t>
      </w:r>
      <w:proofErr w:type="gramEnd"/>
      <w:r w:rsidR="007561E6" w:rsidRPr="00422616">
        <w:rPr>
          <w:lang w:bidi="en-US"/>
        </w:rPr>
        <w:t>і</w:t>
      </w:r>
      <w:proofErr w:type="spellEnd"/>
      <w:r w:rsidR="007561E6" w:rsidRPr="00422616">
        <w:rPr>
          <w:lang w:bidi="en-US"/>
        </w:rPr>
        <w:t xml:space="preserve"> </w:t>
      </w:r>
      <w:r w:rsidR="007561E6" w:rsidRPr="00422616">
        <w:rPr>
          <w:lang w:val="uk-UA" w:bidi="en-US"/>
        </w:rPr>
        <w:t>в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кілька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разів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вища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ніж</w:t>
      </w:r>
      <w:proofErr w:type="spellEnd"/>
      <w:r w:rsidRPr="00422616">
        <w:rPr>
          <w:lang w:bidi="en-US"/>
        </w:rPr>
        <w:t xml:space="preserve"> у </w:t>
      </w:r>
      <w:proofErr w:type="spellStart"/>
      <w:r w:rsidRPr="00422616">
        <w:rPr>
          <w:lang w:bidi="en-US"/>
        </w:rPr>
        <w:t>крові</w:t>
      </w:r>
      <w:proofErr w:type="spellEnd"/>
      <w:r w:rsidRPr="00422616">
        <w:rPr>
          <w:lang w:bidi="en-US"/>
        </w:rPr>
        <w:t xml:space="preserve">. У </w:t>
      </w:r>
      <w:proofErr w:type="spellStart"/>
      <w:r w:rsidRPr="00422616">
        <w:rPr>
          <w:lang w:bidi="en-US"/>
        </w:rPr>
        <w:t>птиці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об’єм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розподілу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триметоприму</w:t>
      </w:r>
      <w:proofErr w:type="spellEnd"/>
      <w:r w:rsidRPr="00422616">
        <w:rPr>
          <w:lang w:bidi="en-US"/>
        </w:rPr>
        <w:t xml:space="preserve"> 2,2 л /кг, </w:t>
      </w:r>
      <w:proofErr w:type="spellStart"/>
      <w:r w:rsidRPr="00422616">
        <w:rPr>
          <w:lang w:bidi="en-US"/>
        </w:rPr>
        <w:t>біодоступність</w:t>
      </w:r>
      <w:proofErr w:type="spellEnd"/>
      <w:r w:rsidRPr="00422616">
        <w:rPr>
          <w:lang w:bidi="en-US"/>
        </w:rPr>
        <w:t xml:space="preserve"> – 80%. </w:t>
      </w:r>
      <w:proofErr w:type="spellStart"/>
      <w:r w:rsidRPr="00422616">
        <w:rPr>
          <w:lang w:bidi="en-US"/>
        </w:rPr>
        <w:t>Період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напіврозпаду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триметоприму</w:t>
      </w:r>
      <w:proofErr w:type="spellEnd"/>
      <w:r w:rsidRPr="00422616">
        <w:rPr>
          <w:lang w:bidi="en-US"/>
        </w:rPr>
        <w:t xml:space="preserve"> </w:t>
      </w:r>
      <w:r w:rsidR="007561E6" w:rsidRPr="00422616">
        <w:rPr>
          <w:lang w:val="uk-UA" w:bidi="en-US"/>
        </w:rPr>
        <w:t>в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птиці</w:t>
      </w:r>
      <w:proofErr w:type="spellEnd"/>
      <w:r w:rsidRPr="00422616">
        <w:rPr>
          <w:lang w:bidi="en-US"/>
        </w:rPr>
        <w:t xml:space="preserve"> становить 1-2 </w:t>
      </w:r>
      <w:proofErr w:type="spellStart"/>
      <w:r w:rsidRPr="00422616">
        <w:rPr>
          <w:lang w:bidi="en-US"/>
        </w:rPr>
        <w:t>години</w:t>
      </w:r>
      <w:proofErr w:type="spellEnd"/>
      <w:r w:rsidRPr="00422616">
        <w:rPr>
          <w:lang w:bidi="en-US"/>
        </w:rPr>
        <w:t>.</w:t>
      </w:r>
    </w:p>
    <w:p w14:paraId="2169AE98" w14:textId="77777777" w:rsidR="00422616" w:rsidRPr="00422616" w:rsidRDefault="00422616" w:rsidP="00422616">
      <w:pPr>
        <w:spacing w:line="276" w:lineRule="auto"/>
        <w:ind w:firstLine="709"/>
        <w:jc w:val="both"/>
        <w:rPr>
          <w:lang w:val="uk-UA" w:bidi="en-US"/>
        </w:rPr>
      </w:pPr>
    </w:p>
    <w:p w14:paraId="347F2299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lastRenderedPageBreak/>
        <w:t>5. Клінічні особливості</w:t>
      </w:r>
      <w:bookmarkEnd w:id="2"/>
    </w:p>
    <w:p w14:paraId="0C5F19A2" w14:textId="1AD580C9" w:rsidR="007D2611" w:rsidRPr="00422616" w:rsidRDefault="007D2611" w:rsidP="00422616">
      <w:pPr>
        <w:widowControl w:val="0"/>
        <w:tabs>
          <w:tab w:val="left" w:pos="4153"/>
        </w:tabs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bookmarkStart w:id="3" w:name="bookmark5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5.1 Вид тварин</w:t>
      </w:r>
      <w:bookmarkEnd w:id="3"/>
    </w:p>
    <w:p w14:paraId="37670B5B" w14:textId="2402B1F9" w:rsidR="007D2611" w:rsidRPr="00422616" w:rsidRDefault="007D2611" w:rsidP="00422616">
      <w:pPr>
        <w:widowControl w:val="0"/>
        <w:spacing w:line="276" w:lineRule="auto"/>
        <w:ind w:right="20" w:firstLine="709"/>
        <w:rPr>
          <w:color w:val="000000"/>
          <w:lang w:val="uk-UA" w:eastAsia="en-US" w:bidi="en-US"/>
        </w:rPr>
      </w:pPr>
      <w:r w:rsidRPr="00422616">
        <w:rPr>
          <w:color w:val="000000"/>
          <w:lang w:val="uk-UA" w:eastAsia="en-US" w:bidi="en-US"/>
        </w:rPr>
        <w:t xml:space="preserve">Свійська птиця (кури-бройлери) </w:t>
      </w:r>
      <w:r w:rsidR="005347F8">
        <w:rPr>
          <w:color w:val="000000"/>
          <w:lang w:val="uk-UA" w:eastAsia="en-US" w:bidi="en-US"/>
        </w:rPr>
        <w:t>.</w:t>
      </w:r>
      <w:bookmarkStart w:id="4" w:name="_GoBack"/>
      <w:bookmarkEnd w:id="4"/>
    </w:p>
    <w:p w14:paraId="072B820C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bookmarkStart w:id="5" w:name="bookmark6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5.2 Показання до застосування</w:t>
      </w:r>
      <w:bookmarkEnd w:id="5"/>
    </w:p>
    <w:p w14:paraId="2B28ADA0" w14:textId="77777777" w:rsidR="007D2611" w:rsidRPr="00422616" w:rsidRDefault="007D2611" w:rsidP="00422616">
      <w:pPr>
        <w:spacing w:line="276" w:lineRule="auto"/>
        <w:ind w:firstLine="709"/>
        <w:jc w:val="both"/>
        <w:rPr>
          <w:lang w:val="uk-UA" w:bidi="en-US"/>
        </w:rPr>
      </w:pPr>
      <w:bookmarkStart w:id="6" w:name="bookmark7"/>
      <w:r w:rsidRPr="00422616">
        <w:rPr>
          <w:lang w:val="uk-UA" w:bidi="en-US"/>
        </w:rPr>
        <w:t xml:space="preserve">Лікування курей-бройлерів, хворих на </w:t>
      </w:r>
      <w:proofErr w:type="spellStart"/>
      <w:r w:rsidRPr="00422616">
        <w:rPr>
          <w:lang w:val="uk-UA" w:bidi="en-US"/>
        </w:rPr>
        <w:t>коліінфекцію</w:t>
      </w:r>
      <w:proofErr w:type="spellEnd"/>
      <w:r w:rsidRPr="00422616">
        <w:rPr>
          <w:lang w:val="uk-UA" w:bidi="en-US"/>
        </w:rPr>
        <w:t xml:space="preserve">, сальмонельоз, некротичний ентерит, </w:t>
      </w:r>
      <w:proofErr w:type="spellStart"/>
      <w:r w:rsidRPr="00422616">
        <w:rPr>
          <w:lang w:val="uk-UA" w:bidi="en-US"/>
        </w:rPr>
        <w:t>стрептококоз</w:t>
      </w:r>
      <w:proofErr w:type="spellEnd"/>
      <w:r w:rsidRPr="00422616">
        <w:rPr>
          <w:lang w:val="uk-UA" w:bidi="en-US"/>
        </w:rPr>
        <w:t xml:space="preserve">, </w:t>
      </w:r>
      <w:proofErr w:type="spellStart"/>
      <w:r w:rsidRPr="00422616">
        <w:rPr>
          <w:lang w:val="uk-UA" w:bidi="en-US"/>
        </w:rPr>
        <w:t>гемофільоз</w:t>
      </w:r>
      <w:proofErr w:type="spellEnd"/>
      <w:r w:rsidRPr="00422616">
        <w:rPr>
          <w:lang w:val="uk-UA" w:bidi="en-US"/>
        </w:rPr>
        <w:t xml:space="preserve">, </w:t>
      </w:r>
      <w:proofErr w:type="spellStart"/>
      <w:r w:rsidRPr="00422616">
        <w:rPr>
          <w:lang w:val="uk-UA" w:bidi="en-US"/>
        </w:rPr>
        <w:t>мікоплазмоз</w:t>
      </w:r>
      <w:proofErr w:type="spellEnd"/>
      <w:r w:rsidRPr="00422616">
        <w:rPr>
          <w:lang w:val="uk-UA" w:bidi="en-US"/>
        </w:rPr>
        <w:t xml:space="preserve"> та інші інфекційні захворювання, що спричинені мікроорганізмами, чутливими до </w:t>
      </w:r>
      <w:proofErr w:type="spellStart"/>
      <w:r w:rsidRPr="00422616">
        <w:rPr>
          <w:lang w:val="uk-UA" w:bidi="en-US"/>
        </w:rPr>
        <w:t>енрофлоксацину</w:t>
      </w:r>
      <w:proofErr w:type="spellEnd"/>
      <w:r w:rsidRPr="00422616">
        <w:rPr>
          <w:lang w:val="uk-UA" w:bidi="en-US"/>
        </w:rPr>
        <w:t xml:space="preserve"> та </w:t>
      </w:r>
      <w:proofErr w:type="spellStart"/>
      <w:r w:rsidRPr="00422616">
        <w:rPr>
          <w:lang w:val="uk-UA" w:bidi="en-US"/>
        </w:rPr>
        <w:t>триметоприму</w:t>
      </w:r>
      <w:proofErr w:type="spellEnd"/>
      <w:r w:rsidRPr="00422616">
        <w:rPr>
          <w:lang w:val="uk-UA" w:bidi="en-US"/>
        </w:rPr>
        <w:t>.</w:t>
      </w:r>
    </w:p>
    <w:p w14:paraId="52998D7E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5.3 Протипоказання</w:t>
      </w:r>
      <w:bookmarkEnd w:id="6"/>
    </w:p>
    <w:p w14:paraId="67D607B8" w14:textId="651F8F2E" w:rsidR="007D2611" w:rsidRPr="00422616" w:rsidRDefault="007D2611" w:rsidP="00422616">
      <w:pPr>
        <w:spacing w:line="276" w:lineRule="auto"/>
        <w:ind w:firstLine="708"/>
        <w:jc w:val="both"/>
        <w:rPr>
          <w:lang w:bidi="en-US"/>
        </w:rPr>
      </w:pPr>
      <w:bookmarkStart w:id="7" w:name="bookmark8"/>
      <w:proofErr w:type="spellStart"/>
      <w:r w:rsidRPr="00422616">
        <w:rPr>
          <w:lang w:bidi="en-US"/>
        </w:rPr>
        <w:t>Підвищена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чутливість</w:t>
      </w:r>
      <w:proofErr w:type="spellEnd"/>
      <w:r w:rsidRPr="00422616">
        <w:rPr>
          <w:lang w:bidi="en-US"/>
        </w:rPr>
        <w:t xml:space="preserve"> до </w:t>
      </w:r>
      <w:proofErr w:type="spellStart"/>
      <w:r w:rsidRPr="00422616">
        <w:rPr>
          <w:lang w:bidi="en-US"/>
        </w:rPr>
        <w:t>енрофлоксацину</w:t>
      </w:r>
      <w:proofErr w:type="spellEnd"/>
      <w:r w:rsidRPr="00422616">
        <w:rPr>
          <w:lang w:bidi="en-US"/>
        </w:rPr>
        <w:t xml:space="preserve"> та </w:t>
      </w:r>
      <w:proofErr w:type="spellStart"/>
      <w:r w:rsidRPr="00422616">
        <w:rPr>
          <w:lang w:bidi="en-US"/>
        </w:rPr>
        <w:t>триметоприму</w:t>
      </w:r>
      <w:proofErr w:type="spellEnd"/>
      <w:r w:rsidR="00454825" w:rsidRPr="00422616">
        <w:rPr>
          <w:lang w:val="uk-UA" w:bidi="en-US"/>
        </w:rPr>
        <w:t xml:space="preserve"> або до будь-якої допоміжної речовини</w:t>
      </w:r>
      <w:r w:rsidRPr="00422616">
        <w:rPr>
          <w:lang w:bidi="en-US"/>
        </w:rPr>
        <w:t>.</w:t>
      </w:r>
    </w:p>
    <w:p w14:paraId="18F2FBBB" w14:textId="77777777" w:rsidR="007D2611" w:rsidRPr="00422616" w:rsidRDefault="007D2611" w:rsidP="00422616">
      <w:pPr>
        <w:spacing w:line="276" w:lineRule="auto"/>
        <w:ind w:firstLine="708"/>
        <w:jc w:val="both"/>
        <w:rPr>
          <w:lang w:bidi="en-US"/>
        </w:rPr>
      </w:pPr>
      <w:r w:rsidRPr="00422616">
        <w:rPr>
          <w:lang w:bidi="en-US"/>
        </w:rPr>
        <w:t xml:space="preserve">Не </w:t>
      </w:r>
      <w:proofErr w:type="spellStart"/>
      <w:r w:rsidRPr="00422616">
        <w:rPr>
          <w:lang w:bidi="en-US"/>
        </w:rPr>
        <w:t>застосовувати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курям</w:t>
      </w:r>
      <w:proofErr w:type="spellEnd"/>
      <w:r w:rsidRPr="00422616">
        <w:rPr>
          <w:lang w:bidi="en-US"/>
        </w:rPr>
        <w:t>–</w:t>
      </w:r>
      <w:proofErr w:type="spellStart"/>
      <w:r w:rsidRPr="00422616">
        <w:rPr>
          <w:lang w:bidi="en-US"/>
        </w:rPr>
        <w:t>несучкам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яйця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яких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використовують</w:t>
      </w:r>
      <w:proofErr w:type="spellEnd"/>
      <w:r w:rsidRPr="00422616">
        <w:rPr>
          <w:lang w:bidi="en-US"/>
        </w:rPr>
        <w:t xml:space="preserve"> для </w:t>
      </w:r>
      <w:proofErr w:type="spellStart"/>
      <w:r w:rsidRPr="00422616">
        <w:rPr>
          <w:lang w:bidi="en-US"/>
        </w:rPr>
        <w:t>споживання</w:t>
      </w:r>
      <w:proofErr w:type="spellEnd"/>
      <w:r w:rsidRPr="00422616">
        <w:rPr>
          <w:lang w:bidi="en-US"/>
        </w:rPr>
        <w:t xml:space="preserve"> людьми, а </w:t>
      </w:r>
      <w:proofErr w:type="spellStart"/>
      <w:r w:rsidRPr="00422616">
        <w:rPr>
          <w:lang w:bidi="en-US"/>
        </w:rPr>
        <w:t>також</w:t>
      </w:r>
      <w:proofErr w:type="spellEnd"/>
      <w:r w:rsidRPr="00422616">
        <w:rPr>
          <w:lang w:bidi="en-US"/>
        </w:rPr>
        <w:t xml:space="preserve"> ремонтному молодняку </w:t>
      </w:r>
      <w:proofErr w:type="spellStart"/>
      <w:r w:rsidRPr="00422616">
        <w:rPr>
          <w:lang w:bidi="en-US"/>
        </w:rPr>
        <w:t>менше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ніж</w:t>
      </w:r>
      <w:proofErr w:type="spellEnd"/>
      <w:r w:rsidRPr="00422616">
        <w:rPr>
          <w:lang w:bidi="en-US"/>
        </w:rPr>
        <w:t xml:space="preserve"> за 2 </w:t>
      </w:r>
      <w:proofErr w:type="spellStart"/>
      <w:r w:rsidRPr="00422616">
        <w:rPr>
          <w:lang w:bidi="en-US"/>
        </w:rPr>
        <w:t>тижні</w:t>
      </w:r>
      <w:proofErr w:type="spellEnd"/>
      <w:r w:rsidRPr="00422616">
        <w:rPr>
          <w:lang w:bidi="en-US"/>
        </w:rPr>
        <w:t xml:space="preserve"> </w:t>
      </w:r>
      <w:proofErr w:type="gramStart"/>
      <w:r w:rsidRPr="00422616">
        <w:rPr>
          <w:lang w:bidi="en-US"/>
        </w:rPr>
        <w:t>до</w:t>
      </w:r>
      <w:proofErr w:type="gramEnd"/>
      <w:r w:rsidRPr="00422616">
        <w:rPr>
          <w:lang w:bidi="en-US"/>
        </w:rPr>
        <w:t xml:space="preserve"> </w:t>
      </w:r>
      <w:proofErr w:type="gramStart"/>
      <w:r w:rsidRPr="00422616">
        <w:rPr>
          <w:lang w:bidi="en-US"/>
        </w:rPr>
        <w:t>початку</w:t>
      </w:r>
      <w:proofErr w:type="gramEnd"/>
      <w:r w:rsidRPr="00422616">
        <w:rPr>
          <w:lang w:bidi="en-US"/>
        </w:rPr>
        <w:t xml:space="preserve"> яйцекладки.</w:t>
      </w:r>
    </w:p>
    <w:p w14:paraId="3CAFFF43" w14:textId="77777777" w:rsidR="007D2611" w:rsidRPr="00422616" w:rsidRDefault="007D2611" w:rsidP="00422616">
      <w:pPr>
        <w:spacing w:line="276" w:lineRule="auto"/>
        <w:ind w:firstLine="708"/>
        <w:jc w:val="both"/>
        <w:rPr>
          <w:lang w:bidi="en-US"/>
        </w:rPr>
      </w:pPr>
      <w:r w:rsidRPr="00422616">
        <w:rPr>
          <w:lang w:bidi="en-US"/>
        </w:rPr>
        <w:t xml:space="preserve">Не </w:t>
      </w:r>
      <w:proofErr w:type="spellStart"/>
      <w:r w:rsidRPr="00422616">
        <w:rPr>
          <w:lang w:bidi="en-US"/>
        </w:rPr>
        <w:t>застосовувати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одночасно</w:t>
      </w:r>
      <w:proofErr w:type="spellEnd"/>
      <w:r w:rsidRPr="00422616">
        <w:rPr>
          <w:lang w:bidi="en-US"/>
        </w:rPr>
        <w:t xml:space="preserve"> з </w:t>
      </w:r>
      <w:proofErr w:type="spellStart"/>
      <w:r w:rsidRPr="00422616">
        <w:rPr>
          <w:lang w:bidi="en-US"/>
        </w:rPr>
        <w:t>нестероїдними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протизапальними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засобами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антибіотиками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групи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макролідів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тетрацикліном</w:t>
      </w:r>
      <w:proofErr w:type="spellEnd"/>
      <w:r w:rsidRPr="00422616">
        <w:rPr>
          <w:lang w:bidi="en-US"/>
        </w:rPr>
        <w:t xml:space="preserve"> та </w:t>
      </w:r>
      <w:proofErr w:type="spellStart"/>
      <w:r w:rsidRPr="00422616">
        <w:rPr>
          <w:lang w:bidi="en-US"/>
        </w:rPr>
        <w:t>хлорамфеніколом</w:t>
      </w:r>
      <w:proofErr w:type="spellEnd"/>
      <w:r w:rsidRPr="00422616">
        <w:rPr>
          <w:lang w:bidi="en-US"/>
        </w:rPr>
        <w:t>.</w:t>
      </w:r>
    </w:p>
    <w:p w14:paraId="46E08E5F" w14:textId="2A5BF47B" w:rsidR="007D2611" w:rsidRPr="00422616" w:rsidRDefault="007D2611" w:rsidP="00422616">
      <w:pPr>
        <w:spacing w:line="276" w:lineRule="auto"/>
        <w:ind w:firstLine="708"/>
        <w:jc w:val="both"/>
        <w:rPr>
          <w:lang w:bidi="en-US"/>
        </w:rPr>
      </w:pPr>
      <w:r w:rsidRPr="00422616">
        <w:rPr>
          <w:lang w:bidi="en-US"/>
        </w:rPr>
        <w:t xml:space="preserve">Не </w:t>
      </w:r>
      <w:proofErr w:type="spellStart"/>
      <w:r w:rsidRPr="00422616">
        <w:rPr>
          <w:lang w:bidi="en-US"/>
        </w:rPr>
        <w:t>застосовувати</w:t>
      </w:r>
      <w:proofErr w:type="spellEnd"/>
      <w:r w:rsidRPr="00422616">
        <w:rPr>
          <w:lang w:bidi="en-US"/>
        </w:rPr>
        <w:t xml:space="preserve"> з </w:t>
      </w:r>
      <w:proofErr w:type="spellStart"/>
      <w:r w:rsidRPr="00422616">
        <w:rPr>
          <w:lang w:bidi="en-US"/>
        </w:rPr>
        <w:t>профілактичною</w:t>
      </w:r>
      <w:proofErr w:type="spellEnd"/>
      <w:r w:rsidRPr="00422616">
        <w:rPr>
          <w:lang w:bidi="en-US"/>
        </w:rPr>
        <w:t xml:space="preserve"> метою, а </w:t>
      </w:r>
      <w:proofErr w:type="spellStart"/>
      <w:r w:rsidRPr="00422616">
        <w:rPr>
          <w:lang w:bidi="en-US"/>
        </w:rPr>
        <w:t>також</w:t>
      </w:r>
      <w:proofErr w:type="spellEnd"/>
      <w:r w:rsidRPr="00422616">
        <w:rPr>
          <w:lang w:bidi="en-US"/>
        </w:rPr>
        <w:t xml:space="preserve"> </w:t>
      </w:r>
      <w:r w:rsidR="00454825" w:rsidRPr="00422616">
        <w:rPr>
          <w:lang w:val="uk-UA" w:bidi="en-US"/>
        </w:rPr>
        <w:t>за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виявленн</w:t>
      </w:r>
      <w:proofErr w:type="spellEnd"/>
      <w:r w:rsidR="00454825" w:rsidRPr="00422616">
        <w:rPr>
          <w:lang w:val="uk-UA" w:bidi="en-US"/>
        </w:rPr>
        <w:t>я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резистентних</w:t>
      </w:r>
      <w:proofErr w:type="spellEnd"/>
      <w:r w:rsidRPr="00422616">
        <w:rPr>
          <w:lang w:bidi="en-US"/>
        </w:rPr>
        <w:t xml:space="preserve"> до </w:t>
      </w:r>
      <w:proofErr w:type="spellStart"/>
      <w:r w:rsidRPr="00422616">
        <w:rPr>
          <w:lang w:bidi="en-US"/>
        </w:rPr>
        <w:t>енрофлоксацину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штамів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збудника</w:t>
      </w:r>
      <w:proofErr w:type="spellEnd"/>
      <w:r w:rsidRPr="00422616">
        <w:rPr>
          <w:lang w:bidi="en-US"/>
        </w:rPr>
        <w:t>.</w:t>
      </w:r>
    </w:p>
    <w:p w14:paraId="2FC2B4F8" w14:textId="77777777" w:rsidR="007D2611" w:rsidRPr="00422616" w:rsidRDefault="007D2611" w:rsidP="00422616">
      <w:pPr>
        <w:widowControl w:val="0"/>
        <w:spacing w:line="276" w:lineRule="auto"/>
        <w:ind w:firstLine="708"/>
        <w:rPr>
          <w:rFonts w:eastAsia="Calibri"/>
          <w:b/>
          <w:color w:val="000000"/>
          <w:lang w:val="uk-UA" w:eastAsia="en-US" w:bidi="en-US"/>
        </w:rPr>
      </w:pPr>
      <w:r w:rsidRPr="00422616">
        <w:rPr>
          <w:rFonts w:eastAsia="Calibri"/>
          <w:b/>
          <w:color w:val="000000"/>
          <w:lang w:val="uk-UA" w:eastAsia="en-US" w:bidi="en-US"/>
        </w:rPr>
        <w:t>5.4 Побічна дія</w:t>
      </w:r>
      <w:bookmarkEnd w:id="7"/>
    </w:p>
    <w:p w14:paraId="5BA55B7E" w14:textId="77777777" w:rsidR="007D2611" w:rsidRPr="00422616" w:rsidRDefault="007D2611" w:rsidP="00422616">
      <w:pPr>
        <w:spacing w:line="276" w:lineRule="auto"/>
        <w:ind w:firstLine="708"/>
        <w:jc w:val="both"/>
        <w:rPr>
          <w:lang w:bidi="en-US"/>
        </w:rPr>
      </w:pPr>
      <w:bookmarkStart w:id="8" w:name="bookmark9"/>
      <w:r w:rsidRPr="00422616">
        <w:rPr>
          <w:lang w:bidi="en-US"/>
        </w:rPr>
        <w:t xml:space="preserve">У </w:t>
      </w:r>
      <w:proofErr w:type="spellStart"/>
      <w:r w:rsidRPr="00422616">
        <w:rPr>
          <w:lang w:bidi="en-US"/>
        </w:rPr>
        <w:t>разі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застосування</w:t>
      </w:r>
      <w:proofErr w:type="spellEnd"/>
      <w:r w:rsidRPr="00422616">
        <w:rPr>
          <w:lang w:bidi="en-US"/>
        </w:rPr>
        <w:t xml:space="preserve"> препарату в </w:t>
      </w:r>
      <w:proofErr w:type="spellStart"/>
      <w:r w:rsidRPr="00422616">
        <w:rPr>
          <w:lang w:bidi="en-US"/>
        </w:rPr>
        <w:t>рекомендованих</w:t>
      </w:r>
      <w:proofErr w:type="spellEnd"/>
      <w:r w:rsidRPr="00422616">
        <w:rPr>
          <w:lang w:bidi="en-US"/>
        </w:rPr>
        <w:t xml:space="preserve"> дозах </w:t>
      </w:r>
      <w:proofErr w:type="spellStart"/>
      <w:r w:rsidRPr="00422616">
        <w:rPr>
          <w:lang w:bidi="en-US"/>
        </w:rPr>
        <w:t>побічних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ефектів</w:t>
      </w:r>
      <w:proofErr w:type="spellEnd"/>
      <w:r w:rsidRPr="00422616">
        <w:rPr>
          <w:lang w:bidi="en-US"/>
        </w:rPr>
        <w:t xml:space="preserve"> не </w:t>
      </w:r>
      <w:proofErr w:type="spellStart"/>
      <w:r w:rsidRPr="00422616">
        <w:rPr>
          <w:lang w:bidi="en-US"/>
        </w:rPr>
        <w:t>спостерігають</w:t>
      </w:r>
      <w:proofErr w:type="spellEnd"/>
      <w:r w:rsidRPr="00422616">
        <w:rPr>
          <w:lang w:bidi="en-US"/>
        </w:rPr>
        <w:t>.</w:t>
      </w:r>
    </w:p>
    <w:p w14:paraId="71B3E2F6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5.5 Особливі застереження при використанні</w:t>
      </w:r>
      <w:bookmarkEnd w:id="8"/>
    </w:p>
    <w:p w14:paraId="1D16F0AE" w14:textId="2B6AF6B7" w:rsidR="007D2611" w:rsidRPr="00422616" w:rsidRDefault="007D2611" w:rsidP="00422616">
      <w:pPr>
        <w:widowControl w:val="0"/>
        <w:spacing w:line="276" w:lineRule="auto"/>
        <w:ind w:right="40" w:firstLine="709"/>
        <w:jc w:val="both"/>
        <w:rPr>
          <w:color w:val="000000"/>
          <w:lang w:val="uk-UA" w:eastAsia="en-US" w:bidi="en-US"/>
        </w:rPr>
      </w:pPr>
      <w:r w:rsidRPr="00422616">
        <w:rPr>
          <w:color w:val="000000"/>
          <w:lang w:val="uk-UA" w:eastAsia="en-US" w:bidi="en-US"/>
        </w:rPr>
        <w:t xml:space="preserve">Персонал, який працює з препаратом, повинен дотримуватись основних правил гігієни та безпеки, прийнятих </w:t>
      </w:r>
      <w:r w:rsidR="00454825" w:rsidRPr="00422616">
        <w:rPr>
          <w:color w:val="000000"/>
          <w:lang w:val="uk-UA" w:eastAsia="en-US" w:bidi="en-US"/>
        </w:rPr>
        <w:t xml:space="preserve">під час </w:t>
      </w:r>
      <w:r w:rsidRPr="00422616">
        <w:rPr>
          <w:color w:val="000000"/>
          <w:lang w:val="uk-UA" w:eastAsia="en-US" w:bidi="en-US"/>
        </w:rPr>
        <w:t xml:space="preserve"> робот</w:t>
      </w:r>
      <w:r w:rsidR="00454825" w:rsidRPr="00422616">
        <w:rPr>
          <w:color w:val="000000"/>
          <w:lang w:val="uk-UA" w:eastAsia="en-US" w:bidi="en-US"/>
        </w:rPr>
        <w:t>и</w:t>
      </w:r>
      <w:r w:rsidRPr="00422616">
        <w:rPr>
          <w:color w:val="000000"/>
          <w:lang w:val="uk-UA" w:eastAsia="en-US" w:bidi="en-US"/>
        </w:rPr>
        <w:t xml:space="preserve"> з ветеринарними препаратами.</w:t>
      </w:r>
    </w:p>
    <w:p w14:paraId="141BF9B0" w14:textId="1BC52316" w:rsidR="007D2611" w:rsidRPr="00422616" w:rsidRDefault="007D2611" w:rsidP="00422616">
      <w:pPr>
        <w:ind w:firstLine="425"/>
        <w:jc w:val="both"/>
        <w:rPr>
          <w:lang w:val="uk-UA"/>
        </w:rPr>
      </w:pPr>
      <w:r w:rsidRPr="00422616">
        <w:rPr>
          <w:lang w:val="uk-UA" w:eastAsia="en-US" w:bidi="en-US"/>
        </w:rPr>
        <w:t xml:space="preserve">Оскільки </w:t>
      </w:r>
      <w:proofErr w:type="spellStart"/>
      <w:r w:rsidRPr="00422616">
        <w:rPr>
          <w:lang w:val="uk-UA" w:eastAsia="en-US" w:bidi="en-US"/>
        </w:rPr>
        <w:t>енрофлоксацин</w:t>
      </w:r>
      <w:proofErr w:type="spellEnd"/>
      <w:r w:rsidRPr="00422616">
        <w:rPr>
          <w:lang w:val="uk-UA" w:eastAsia="en-US" w:bidi="en-US"/>
        </w:rPr>
        <w:t xml:space="preserve">, який входить до складу препарату, спочатку був дозволений до використання </w:t>
      </w:r>
      <w:r w:rsidR="00C335BC" w:rsidRPr="00422616">
        <w:rPr>
          <w:lang w:val="uk-UA" w:eastAsia="en-US" w:bidi="en-US"/>
        </w:rPr>
        <w:t>в</w:t>
      </w:r>
      <w:r w:rsidRPr="00422616">
        <w:rPr>
          <w:lang w:val="uk-UA" w:eastAsia="en-US" w:bidi="en-US"/>
        </w:rPr>
        <w:t xml:space="preserve"> птиці, спостерігається значне зниження чутливості </w:t>
      </w:r>
      <w:r w:rsidRPr="00422616">
        <w:rPr>
          <w:i/>
          <w:lang w:val="uk-UA" w:eastAsia="en-US" w:bidi="en-US"/>
        </w:rPr>
        <w:t xml:space="preserve">Е. </w:t>
      </w:r>
      <w:proofErr w:type="spellStart"/>
      <w:r w:rsidRPr="00422616">
        <w:rPr>
          <w:i/>
          <w:lang w:val="uk-UA" w:eastAsia="en-US" w:bidi="en-US"/>
        </w:rPr>
        <w:t>со</w:t>
      </w:r>
      <w:proofErr w:type="spellEnd"/>
      <w:r w:rsidR="00C335BC" w:rsidRPr="00422616">
        <w:rPr>
          <w:i/>
          <w:lang w:val="en-US" w:eastAsia="en-US" w:bidi="en-US"/>
        </w:rPr>
        <w:t>l</w:t>
      </w:r>
      <w:r w:rsidRPr="00422616">
        <w:rPr>
          <w:i/>
          <w:lang w:val="uk-UA" w:eastAsia="en-US" w:bidi="en-US"/>
        </w:rPr>
        <w:t>і</w:t>
      </w:r>
      <w:r w:rsidRPr="00422616">
        <w:rPr>
          <w:lang w:val="uk-UA" w:eastAsia="en-US" w:bidi="en-US"/>
        </w:rPr>
        <w:t xml:space="preserve"> до </w:t>
      </w:r>
      <w:proofErr w:type="spellStart"/>
      <w:r w:rsidRPr="00422616">
        <w:rPr>
          <w:lang w:val="uk-UA" w:eastAsia="en-US" w:bidi="en-US"/>
        </w:rPr>
        <w:t>фторхінолонів</w:t>
      </w:r>
      <w:proofErr w:type="spellEnd"/>
      <w:r w:rsidRPr="00422616">
        <w:rPr>
          <w:lang w:val="uk-UA" w:eastAsia="en-US" w:bidi="en-US"/>
        </w:rPr>
        <w:t xml:space="preserve"> та появи резистентних штамів. Також у Європейському Союзі було зареєстровано випадки резистентності </w:t>
      </w:r>
      <w:proofErr w:type="spellStart"/>
      <w:r w:rsidRPr="00422616">
        <w:rPr>
          <w:i/>
          <w:lang w:val="uk-UA" w:eastAsia="en-US" w:bidi="en-US"/>
        </w:rPr>
        <w:t>Mycoplasma</w:t>
      </w:r>
      <w:proofErr w:type="spellEnd"/>
      <w:r w:rsidRPr="00422616">
        <w:rPr>
          <w:i/>
          <w:lang w:val="uk-UA" w:eastAsia="en-US" w:bidi="en-US"/>
        </w:rPr>
        <w:t xml:space="preserve"> </w:t>
      </w:r>
      <w:proofErr w:type="spellStart"/>
      <w:r w:rsidRPr="00422616">
        <w:rPr>
          <w:i/>
          <w:lang w:val="uk-UA" w:eastAsia="en-US" w:bidi="en-US"/>
        </w:rPr>
        <w:t>synoviae</w:t>
      </w:r>
      <w:proofErr w:type="spellEnd"/>
      <w:r w:rsidRPr="00422616">
        <w:rPr>
          <w:lang w:val="uk-UA" w:eastAsia="en-US" w:bidi="en-US"/>
        </w:rPr>
        <w:t xml:space="preserve"> до </w:t>
      </w:r>
      <w:proofErr w:type="spellStart"/>
      <w:r w:rsidRPr="00422616">
        <w:rPr>
          <w:lang w:val="uk-UA" w:eastAsia="en-US" w:bidi="en-US"/>
        </w:rPr>
        <w:t>фторхінолонів</w:t>
      </w:r>
      <w:proofErr w:type="spellEnd"/>
      <w:r w:rsidRPr="00422616">
        <w:rPr>
          <w:rFonts w:eastAsia="Calibri"/>
          <w:lang w:val="uk-UA" w:eastAsia="en-US" w:bidi="en-US"/>
        </w:rPr>
        <w:t>.</w:t>
      </w:r>
      <w:r w:rsidR="00422616" w:rsidRPr="00422616">
        <w:rPr>
          <w:rFonts w:eastAsia="Calibri"/>
          <w:lang w:val="uk-UA" w:eastAsia="en-US" w:bidi="en-US"/>
        </w:rPr>
        <w:t xml:space="preserve"> </w:t>
      </w:r>
      <w:r w:rsidR="00422616" w:rsidRPr="00422616">
        <w:rPr>
          <w:lang w:val="uk-UA" w:eastAsia="en-US" w:bidi="en-US"/>
        </w:rPr>
        <w:t xml:space="preserve">Через можливий розвиток резистентності мікроорганізмів до </w:t>
      </w:r>
      <w:proofErr w:type="spellStart"/>
      <w:r w:rsidR="00422616" w:rsidRPr="00422616">
        <w:rPr>
          <w:lang w:val="uk-UA" w:eastAsia="en-US" w:bidi="en-US"/>
        </w:rPr>
        <w:t>енрофлоксацину</w:t>
      </w:r>
      <w:proofErr w:type="spellEnd"/>
      <w:r w:rsidR="00422616" w:rsidRPr="00422616">
        <w:rPr>
          <w:lang w:val="uk-UA" w:eastAsia="en-US" w:bidi="en-US"/>
        </w:rPr>
        <w:t xml:space="preserve"> та </w:t>
      </w:r>
      <w:proofErr w:type="spellStart"/>
      <w:r w:rsidR="00422616" w:rsidRPr="00422616">
        <w:rPr>
          <w:lang w:val="uk-UA" w:eastAsia="en-US" w:bidi="en-US"/>
        </w:rPr>
        <w:t>триметоприму</w:t>
      </w:r>
      <w:proofErr w:type="spellEnd"/>
      <w:r w:rsidR="00422616" w:rsidRPr="00422616">
        <w:rPr>
          <w:lang w:val="uk-UA" w:eastAsia="en-US" w:bidi="en-US"/>
        </w:rPr>
        <w:t xml:space="preserve"> використання препарату повинно базуватися на тестуванні чутливості мікроорганізмів до </w:t>
      </w:r>
      <w:proofErr w:type="spellStart"/>
      <w:r w:rsidR="00422616" w:rsidRPr="00422616">
        <w:rPr>
          <w:lang w:val="uk-UA" w:eastAsia="en-US" w:bidi="en-US"/>
        </w:rPr>
        <w:t>енрофлоксацину</w:t>
      </w:r>
      <w:proofErr w:type="spellEnd"/>
      <w:r w:rsidR="00422616" w:rsidRPr="00422616">
        <w:rPr>
          <w:lang w:val="uk-UA" w:eastAsia="en-US" w:bidi="en-US"/>
        </w:rPr>
        <w:t xml:space="preserve">. </w:t>
      </w:r>
    </w:p>
    <w:p w14:paraId="10468A71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bookmarkStart w:id="9" w:name="bookmark10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5.6 Використання під час вагітності, лактації, несучості</w:t>
      </w:r>
      <w:bookmarkEnd w:id="9"/>
    </w:p>
    <w:p w14:paraId="7D39B8AF" w14:textId="77777777" w:rsidR="007D2611" w:rsidRPr="00422616" w:rsidRDefault="007D2611" w:rsidP="00422616">
      <w:pPr>
        <w:widowControl w:val="0"/>
        <w:spacing w:line="276" w:lineRule="auto"/>
        <w:ind w:right="40" w:firstLine="709"/>
        <w:jc w:val="both"/>
        <w:rPr>
          <w:color w:val="000000"/>
          <w:lang w:val="uk-UA" w:eastAsia="en-US" w:bidi="en-US"/>
        </w:rPr>
      </w:pPr>
      <w:r w:rsidRPr="00422616">
        <w:rPr>
          <w:color w:val="000000"/>
          <w:lang w:val="uk-UA" w:eastAsia="en-US" w:bidi="en-US"/>
        </w:rPr>
        <w:t>Не застосовувати курям-несучкам, яйця яких призначено для споживання в їжу людям.</w:t>
      </w:r>
    </w:p>
    <w:p w14:paraId="2A6F1526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bookmarkStart w:id="10" w:name="bookmark11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5.7 Взаємодія з іншими засобами та інші форми взаємодії</w:t>
      </w:r>
      <w:bookmarkEnd w:id="10"/>
    </w:p>
    <w:p w14:paraId="028B2B26" w14:textId="326A022B" w:rsidR="007D2611" w:rsidRPr="00422616" w:rsidRDefault="007D2611" w:rsidP="00422616">
      <w:pPr>
        <w:widowControl w:val="0"/>
        <w:spacing w:line="276" w:lineRule="auto"/>
        <w:ind w:right="40" w:firstLine="709"/>
        <w:jc w:val="both"/>
        <w:rPr>
          <w:color w:val="000000"/>
          <w:lang w:val="uk-UA" w:eastAsia="en-US" w:bidi="en-US"/>
        </w:rPr>
      </w:pPr>
      <w:r w:rsidRPr="00422616">
        <w:rPr>
          <w:color w:val="000000"/>
          <w:lang w:val="uk-UA" w:eastAsia="en-US" w:bidi="en-US"/>
        </w:rPr>
        <w:t xml:space="preserve">Не застосовувати одночасно з нестероїдними протизапальними засобами, бактеріостатичними антибіотиками, </w:t>
      </w:r>
      <w:r w:rsidR="00C335BC" w:rsidRPr="00422616">
        <w:rPr>
          <w:color w:val="000000"/>
          <w:lang w:val="uk-UA" w:eastAsia="en-US" w:bidi="en-US"/>
        </w:rPr>
        <w:t>а саме,</w:t>
      </w:r>
      <w:r w:rsidRPr="00422616">
        <w:rPr>
          <w:color w:val="000000"/>
          <w:lang w:val="uk-UA" w:eastAsia="en-US" w:bidi="en-US"/>
        </w:rPr>
        <w:t xml:space="preserve"> </w:t>
      </w:r>
      <w:proofErr w:type="spellStart"/>
      <w:r w:rsidRPr="00422616">
        <w:rPr>
          <w:color w:val="000000"/>
          <w:lang w:val="uk-UA" w:eastAsia="en-US" w:bidi="en-US"/>
        </w:rPr>
        <w:t>макролід</w:t>
      </w:r>
      <w:r w:rsidR="00C335BC" w:rsidRPr="00422616">
        <w:rPr>
          <w:color w:val="000000"/>
          <w:lang w:val="uk-UA" w:eastAsia="en-US" w:bidi="en-US"/>
        </w:rPr>
        <w:t>ам</w:t>
      </w:r>
      <w:r w:rsidRPr="00422616">
        <w:rPr>
          <w:color w:val="000000"/>
          <w:lang w:val="uk-UA" w:eastAsia="en-US" w:bidi="en-US"/>
        </w:rPr>
        <w:t>и</w:t>
      </w:r>
      <w:proofErr w:type="spellEnd"/>
      <w:r w:rsidRPr="00422616">
        <w:rPr>
          <w:color w:val="000000"/>
          <w:lang w:val="uk-UA" w:eastAsia="en-US" w:bidi="en-US"/>
        </w:rPr>
        <w:t xml:space="preserve">, </w:t>
      </w:r>
      <w:proofErr w:type="spellStart"/>
      <w:r w:rsidRPr="00422616">
        <w:rPr>
          <w:color w:val="000000"/>
          <w:lang w:val="uk-UA" w:eastAsia="en-US" w:bidi="en-US"/>
        </w:rPr>
        <w:t>тетрациклінами</w:t>
      </w:r>
      <w:proofErr w:type="spellEnd"/>
      <w:r w:rsidRPr="00422616">
        <w:rPr>
          <w:color w:val="000000"/>
          <w:lang w:val="uk-UA" w:eastAsia="en-US" w:bidi="en-US"/>
        </w:rPr>
        <w:t xml:space="preserve"> та </w:t>
      </w:r>
      <w:proofErr w:type="spellStart"/>
      <w:r w:rsidRPr="00422616">
        <w:rPr>
          <w:color w:val="000000"/>
          <w:lang w:val="uk-UA" w:eastAsia="en-US" w:bidi="en-US"/>
        </w:rPr>
        <w:t>хлорамфенікол</w:t>
      </w:r>
      <w:r w:rsidR="00C335BC" w:rsidRPr="00422616">
        <w:rPr>
          <w:color w:val="000000"/>
          <w:lang w:val="uk-UA" w:eastAsia="en-US" w:bidi="en-US"/>
        </w:rPr>
        <w:t>ом</w:t>
      </w:r>
      <w:proofErr w:type="spellEnd"/>
      <w:r w:rsidRPr="00422616">
        <w:rPr>
          <w:color w:val="000000"/>
          <w:lang w:val="uk-UA" w:eastAsia="en-US" w:bidi="en-US"/>
        </w:rPr>
        <w:t xml:space="preserve">, </w:t>
      </w:r>
      <w:r w:rsidR="00454825" w:rsidRPr="00422616">
        <w:rPr>
          <w:color w:val="000000"/>
          <w:lang w:val="uk-UA" w:eastAsia="en-US" w:bidi="en-US"/>
        </w:rPr>
        <w:t xml:space="preserve">а також з </w:t>
      </w:r>
      <w:r w:rsidRPr="00422616">
        <w:rPr>
          <w:color w:val="000000"/>
          <w:lang w:val="uk-UA" w:eastAsia="en-US" w:bidi="en-US"/>
        </w:rPr>
        <w:t xml:space="preserve">препаратами, що містять алюміній, магній, залізо або кальцій, ненасиченими жирними кислотами та </w:t>
      </w:r>
      <w:proofErr w:type="spellStart"/>
      <w:r w:rsidRPr="00422616">
        <w:rPr>
          <w:color w:val="000000"/>
          <w:lang w:val="uk-UA" w:eastAsia="en-US" w:bidi="en-US"/>
        </w:rPr>
        <w:t>поліфосфатами</w:t>
      </w:r>
      <w:proofErr w:type="spellEnd"/>
      <w:r w:rsidRPr="00422616">
        <w:rPr>
          <w:color w:val="000000"/>
          <w:lang w:val="uk-UA" w:eastAsia="en-US" w:bidi="en-US"/>
        </w:rPr>
        <w:t>.</w:t>
      </w:r>
    </w:p>
    <w:p w14:paraId="30030A33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ourier New"/>
          <w:color w:val="000000"/>
          <w:lang w:val="uk-UA" w:eastAsia="en-US" w:bidi="en-US"/>
        </w:rPr>
      </w:pPr>
      <w:bookmarkStart w:id="11" w:name="bookmark12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5.8 Дози і способи введення тваринам різного віку</w:t>
      </w:r>
      <w:bookmarkEnd w:id="11"/>
    </w:p>
    <w:p w14:paraId="7FAB259C" w14:textId="1AE7D963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lang w:val="uk-UA" w:bidi="en-US"/>
        </w:rPr>
      </w:pPr>
      <w:bookmarkStart w:id="12" w:name="bookmark13"/>
      <w:r w:rsidRPr="00422616">
        <w:rPr>
          <w:lang w:bidi="en-US"/>
        </w:rPr>
        <w:t xml:space="preserve">Перорально з </w:t>
      </w:r>
      <w:proofErr w:type="spellStart"/>
      <w:r w:rsidRPr="00422616">
        <w:rPr>
          <w:lang w:bidi="en-US"/>
        </w:rPr>
        <w:t>питною</w:t>
      </w:r>
      <w:proofErr w:type="spellEnd"/>
      <w:r w:rsidRPr="00422616">
        <w:rPr>
          <w:lang w:bidi="en-US"/>
        </w:rPr>
        <w:t xml:space="preserve"> водою </w:t>
      </w:r>
      <w:r w:rsidR="00C335BC" w:rsidRPr="00422616">
        <w:rPr>
          <w:lang w:val="uk-UA" w:bidi="en-US"/>
        </w:rPr>
        <w:t>в</w:t>
      </w:r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дозі</w:t>
      </w:r>
      <w:proofErr w:type="spellEnd"/>
      <w:r w:rsidRPr="00422616">
        <w:rPr>
          <w:lang w:bidi="en-US"/>
        </w:rPr>
        <w:t xml:space="preserve"> 0,5-1 мл препарату на 1 л </w:t>
      </w:r>
      <w:proofErr w:type="spellStart"/>
      <w:r w:rsidRPr="00422616">
        <w:rPr>
          <w:lang w:bidi="en-US"/>
        </w:rPr>
        <w:t>питної</w:t>
      </w:r>
      <w:proofErr w:type="spellEnd"/>
      <w:r w:rsidRPr="00422616">
        <w:rPr>
          <w:lang w:bidi="en-US"/>
        </w:rPr>
        <w:t xml:space="preserve"> води (</w:t>
      </w:r>
      <w:proofErr w:type="spellStart"/>
      <w:r w:rsidRPr="00422616">
        <w:rPr>
          <w:lang w:bidi="en-US"/>
        </w:rPr>
        <w:t>або</w:t>
      </w:r>
      <w:proofErr w:type="spellEnd"/>
      <w:r w:rsidRPr="00422616">
        <w:rPr>
          <w:lang w:bidi="en-US"/>
        </w:rPr>
        <w:t xml:space="preserve"> 10 мг </w:t>
      </w:r>
      <w:proofErr w:type="spellStart"/>
      <w:r w:rsidRPr="00422616">
        <w:rPr>
          <w:lang w:bidi="en-US"/>
        </w:rPr>
        <w:t>енрофлоксацину</w:t>
      </w:r>
      <w:proofErr w:type="spellEnd"/>
      <w:r w:rsidRPr="00422616">
        <w:rPr>
          <w:lang w:bidi="en-US"/>
        </w:rPr>
        <w:t xml:space="preserve"> та 5 мг </w:t>
      </w:r>
      <w:proofErr w:type="spellStart"/>
      <w:r w:rsidRPr="00422616">
        <w:rPr>
          <w:lang w:bidi="en-US"/>
        </w:rPr>
        <w:t>триметоприму</w:t>
      </w:r>
      <w:proofErr w:type="spellEnd"/>
      <w:r w:rsidRPr="00422616">
        <w:rPr>
          <w:lang w:bidi="en-US"/>
        </w:rPr>
        <w:t xml:space="preserve"> на 1 кг </w:t>
      </w:r>
      <w:proofErr w:type="spellStart"/>
      <w:r w:rsidRPr="00422616">
        <w:rPr>
          <w:lang w:bidi="en-US"/>
        </w:rPr>
        <w:t>маси</w:t>
      </w:r>
      <w:proofErr w:type="spellEnd"/>
      <w:r w:rsidRPr="00422616">
        <w:rPr>
          <w:lang w:bidi="en-US"/>
        </w:rPr>
        <w:t xml:space="preserve"> </w:t>
      </w:r>
      <w:proofErr w:type="spellStart"/>
      <w:proofErr w:type="gramStart"/>
      <w:r w:rsidRPr="00422616">
        <w:rPr>
          <w:lang w:bidi="en-US"/>
        </w:rPr>
        <w:t>тіла</w:t>
      </w:r>
      <w:proofErr w:type="spellEnd"/>
      <w:proofErr w:type="gramEnd"/>
      <w:r w:rsidRPr="00422616">
        <w:rPr>
          <w:lang w:bidi="en-US"/>
        </w:rPr>
        <w:t xml:space="preserve">) </w:t>
      </w:r>
      <w:proofErr w:type="spellStart"/>
      <w:r w:rsidR="00422616" w:rsidRPr="00422616">
        <w:rPr>
          <w:lang w:val="uk-UA" w:bidi="en-US"/>
        </w:rPr>
        <w:t>ціло</w:t>
      </w:r>
      <w:r w:rsidRPr="00422616">
        <w:rPr>
          <w:lang w:bidi="en-US"/>
        </w:rPr>
        <w:t>добово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протягом</w:t>
      </w:r>
      <w:proofErr w:type="spellEnd"/>
      <w:r w:rsidRPr="00422616">
        <w:rPr>
          <w:lang w:bidi="en-US"/>
        </w:rPr>
        <w:t xml:space="preserve"> 3-5 </w:t>
      </w:r>
      <w:proofErr w:type="spellStart"/>
      <w:r w:rsidRPr="00422616">
        <w:rPr>
          <w:lang w:bidi="en-US"/>
        </w:rPr>
        <w:t>діб</w:t>
      </w:r>
      <w:proofErr w:type="spellEnd"/>
      <w:r w:rsidRPr="00422616">
        <w:rPr>
          <w:lang w:bidi="en-US"/>
        </w:rPr>
        <w:t>.</w:t>
      </w:r>
    </w:p>
    <w:p w14:paraId="63CED5C5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422616">
        <w:rPr>
          <w:lang w:bidi="en-US"/>
        </w:rPr>
        <w:t xml:space="preserve">У </w:t>
      </w:r>
      <w:proofErr w:type="spellStart"/>
      <w:r w:rsidRPr="00422616">
        <w:rPr>
          <w:lang w:bidi="en-US"/>
        </w:rPr>
        <w:t>разі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приготування</w:t>
      </w:r>
      <w:proofErr w:type="spellEnd"/>
      <w:r w:rsidRPr="00422616">
        <w:rPr>
          <w:lang w:bidi="en-US"/>
        </w:rPr>
        <w:t xml:space="preserve"> </w:t>
      </w:r>
      <w:proofErr w:type="gramStart"/>
      <w:r w:rsidRPr="00422616">
        <w:rPr>
          <w:lang w:bidi="en-US"/>
        </w:rPr>
        <w:t>маточного</w:t>
      </w:r>
      <w:proofErr w:type="gram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розчину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необхідно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додавати</w:t>
      </w:r>
      <w:proofErr w:type="spellEnd"/>
      <w:r w:rsidRPr="00422616">
        <w:rPr>
          <w:lang w:bidi="en-US"/>
        </w:rPr>
        <w:t xml:space="preserve"> препарат у воду.</w:t>
      </w:r>
    </w:p>
    <w:p w14:paraId="10EBC966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422616">
        <w:rPr>
          <w:lang w:bidi="en-US"/>
        </w:rPr>
        <w:t xml:space="preserve">Вода з препаратом повинна бути </w:t>
      </w:r>
      <w:proofErr w:type="spellStart"/>
      <w:r w:rsidRPr="00422616">
        <w:rPr>
          <w:lang w:bidi="en-US"/>
        </w:rPr>
        <w:t>єдиним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джерелом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питної</w:t>
      </w:r>
      <w:proofErr w:type="spellEnd"/>
      <w:r w:rsidRPr="00422616">
        <w:rPr>
          <w:lang w:bidi="en-US"/>
        </w:rPr>
        <w:t xml:space="preserve"> води </w:t>
      </w:r>
      <w:proofErr w:type="spellStart"/>
      <w:r w:rsidRPr="00422616">
        <w:rPr>
          <w:lang w:bidi="en-US"/>
        </w:rPr>
        <w:t>протягом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усього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періоду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лікування</w:t>
      </w:r>
      <w:proofErr w:type="spellEnd"/>
      <w:r w:rsidRPr="00422616">
        <w:rPr>
          <w:lang w:bidi="en-US"/>
        </w:rPr>
        <w:t>!</w:t>
      </w:r>
    </w:p>
    <w:p w14:paraId="409A17EF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5.9 Передозування</w:t>
      </w:r>
      <w:bookmarkEnd w:id="12"/>
    </w:p>
    <w:p w14:paraId="72950968" w14:textId="77777777" w:rsidR="007D2611" w:rsidRPr="00422616" w:rsidRDefault="007D2611" w:rsidP="00422616">
      <w:pPr>
        <w:widowControl w:val="0"/>
        <w:spacing w:line="276" w:lineRule="auto"/>
        <w:ind w:firstLine="709"/>
        <w:rPr>
          <w:color w:val="000000"/>
          <w:lang w:val="uk-UA" w:eastAsia="en-US" w:bidi="en-US"/>
        </w:rPr>
      </w:pPr>
      <w:r w:rsidRPr="00422616">
        <w:rPr>
          <w:color w:val="000000"/>
          <w:lang w:val="uk-UA" w:eastAsia="en-US" w:bidi="en-US"/>
        </w:rPr>
        <w:t>Не реєструвалось.</w:t>
      </w:r>
    </w:p>
    <w:p w14:paraId="5A96D5F6" w14:textId="77777777" w:rsidR="007D2611" w:rsidRPr="00422616" w:rsidRDefault="007D2611" w:rsidP="00422616">
      <w:pPr>
        <w:widowControl w:val="0"/>
        <w:spacing w:line="276" w:lineRule="auto"/>
        <w:ind w:firstLine="709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5.10 Спеціальні застереження</w:t>
      </w:r>
    </w:p>
    <w:p w14:paraId="679B2FE2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422616">
        <w:rPr>
          <w:lang w:bidi="en-US"/>
        </w:rPr>
        <w:t xml:space="preserve">У </w:t>
      </w:r>
      <w:proofErr w:type="spellStart"/>
      <w:r w:rsidRPr="00422616">
        <w:rPr>
          <w:lang w:bidi="en-US"/>
        </w:rPr>
        <w:t>разі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приготування</w:t>
      </w:r>
      <w:proofErr w:type="spellEnd"/>
      <w:r w:rsidRPr="00422616">
        <w:rPr>
          <w:lang w:bidi="en-US"/>
        </w:rPr>
        <w:t xml:space="preserve"> </w:t>
      </w:r>
      <w:proofErr w:type="gramStart"/>
      <w:r w:rsidRPr="00422616">
        <w:rPr>
          <w:lang w:bidi="en-US"/>
        </w:rPr>
        <w:t>маточного</w:t>
      </w:r>
      <w:proofErr w:type="gram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розчину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необхідно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додавати</w:t>
      </w:r>
      <w:proofErr w:type="spellEnd"/>
      <w:r w:rsidRPr="00422616">
        <w:rPr>
          <w:lang w:bidi="en-US"/>
        </w:rPr>
        <w:t xml:space="preserve"> препарат у воду.</w:t>
      </w:r>
    </w:p>
    <w:p w14:paraId="4788D20F" w14:textId="77777777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r w:rsidRPr="00422616">
        <w:rPr>
          <w:lang w:bidi="en-US"/>
        </w:rPr>
        <w:lastRenderedPageBreak/>
        <w:t xml:space="preserve">Вода з препаратом повинна бути </w:t>
      </w:r>
      <w:proofErr w:type="spellStart"/>
      <w:r w:rsidRPr="00422616">
        <w:rPr>
          <w:lang w:bidi="en-US"/>
        </w:rPr>
        <w:t>єдиним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джерелом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питної</w:t>
      </w:r>
      <w:proofErr w:type="spellEnd"/>
      <w:r w:rsidRPr="00422616">
        <w:rPr>
          <w:lang w:bidi="en-US"/>
        </w:rPr>
        <w:t xml:space="preserve"> води </w:t>
      </w:r>
      <w:proofErr w:type="spellStart"/>
      <w:r w:rsidRPr="00422616">
        <w:rPr>
          <w:lang w:bidi="en-US"/>
        </w:rPr>
        <w:t>протягом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усього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періоду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лікування</w:t>
      </w:r>
      <w:proofErr w:type="spellEnd"/>
      <w:r w:rsidRPr="00422616">
        <w:rPr>
          <w:lang w:bidi="en-US"/>
        </w:rPr>
        <w:t>!</w:t>
      </w:r>
    </w:p>
    <w:p w14:paraId="66EF64EF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5.11 Період виведення (</w:t>
      </w:r>
      <w:proofErr w:type="spellStart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каренції</w:t>
      </w:r>
      <w:proofErr w:type="spellEnd"/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)</w:t>
      </w:r>
    </w:p>
    <w:p w14:paraId="09001CB7" w14:textId="31E0C6EF" w:rsidR="007D2611" w:rsidRPr="00422616" w:rsidRDefault="007D2611" w:rsidP="00422616">
      <w:pPr>
        <w:spacing w:line="276" w:lineRule="auto"/>
        <w:ind w:firstLine="709"/>
        <w:jc w:val="both"/>
        <w:rPr>
          <w:lang w:bidi="en-US"/>
        </w:rPr>
      </w:pPr>
      <w:proofErr w:type="spellStart"/>
      <w:r w:rsidRPr="00422616">
        <w:rPr>
          <w:lang w:bidi="en-US"/>
        </w:rPr>
        <w:t>Забій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птиці</w:t>
      </w:r>
      <w:proofErr w:type="spellEnd"/>
      <w:r w:rsidRPr="00422616">
        <w:rPr>
          <w:lang w:bidi="en-US"/>
        </w:rPr>
        <w:t xml:space="preserve"> на </w:t>
      </w:r>
      <w:proofErr w:type="spellStart"/>
      <w:r w:rsidRPr="00422616">
        <w:rPr>
          <w:lang w:bidi="en-US"/>
        </w:rPr>
        <w:t>м’ясо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дозволяється</w:t>
      </w:r>
      <w:proofErr w:type="spellEnd"/>
      <w:r w:rsidRPr="00422616">
        <w:rPr>
          <w:lang w:bidi="en-US"/>
        </w:rPr>
        <w:t xml:space="preserve"> через 11 </w:t>
      </w:r>
      <w:proofErr w:type="spellStart"/>
      <w:r w:rsidRPr="00422616">
        <w:rPr>
          <w:lang w:bidi="en-US"/>
        </w:rPr>
        <w:t>діб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після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останнього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застосування</w:t>
      </w:r>
      <w:proofErr w:type="spellEnd"/>
      <w:r w:rsidRPr="00422616">
        <w:rPr>
          <w:lang w:bidi="en-US"/>
        </w:rPr>
        <w:t xml:space="preserve"> препарату. </w:t>
      </w:r>
      <w:proofErr w:type="spellStart"/>
      <w:r w:rsidRPr="00422616">
        <w:rPr>
          <w:lang w:bidi="en-US"/>
        </w:rPr>
        <w:t>Отриман</w:t>
      </w:r>
      <w:proofErr w:type="spellEnd"/>
      <w:r w:rsidR="00422616" w:rsidRPr="00422616">
        <w:rPr>
          <w:lang w:val="uk-UA" w:bidi="en-US"/>
        </w:rPr>
        <w:t>е</w:t>
      </w:r>
      <w:r w:rsidRPr="00422616">
        <w:rPr>
          <w:lang w:bidi="en-US"/>
        </w:rPr>
        <w:t xml:space="preserve"> до </w:t>
      </w:r>
      <w:proofErr w:type="spellStart"/>
      <w:r w:rsidRPr="00422616">
        <w:rPr>
          <w:lang w:bidi="en-US"/>
        </w:rPr>
        <w:t>зазначеного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терміну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м'ясо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утилізують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або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згодовують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непродуктивним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тваринам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залежно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від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висновку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лікаря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ветеринарної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медицини</w:t>
      </w:r>
      <w:proofErr w:type="spellEnd"/>
      <w:r w:rsidRPr="00422616">
        <w:rPr>
          <w:lang w:bidi="en-US"/>
        </w:rPr>
        <w:t>.</w:t>
      </w:r>
    </w:p>
    <w:p w14:paraId="645A3D91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5.12 Спеціальні застереження для осіб і обслуговуючого персоналу</w:t>
      </w:r>
    </w:p>
    <w:p w14:paraId="74F8E081" w14:textId="3F972D1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snapToGrid w:val="0"/>
          <w:color w:val="000000"/>
          <w:bdr w:val="none" w:sz="0" w:space="0" w:color="auto" w:frame="1"/>
          <w:lang w:val="uk-UA" w:eastAsia="en-US" w:bidi="en-US"/>
        </w:rPr>
        <w:t xml:space="preserve">Персонал, який працює з препаратом, повинен дотримуватись основних правил гігієни та безпеки, прийнятих </w:t>
      </w:r>
      <w:r w:rsidR="00E123A4" w:rsidRPr="00422616">
        <w:rPr>
          <w:rFonts w:eastAsia="Calibri"/>
          <w:snapToGrid w:val="0"/>
          <w:color w:val="000000"/>
          <w:bdr w:val="none" w:sz="0" w:space="0" w:color="auto" w:frame="1"/>
          <w:lang w:val="uk-UA" w:eastAsia="en-US" w:bidi="en-US"/>
        </w:rPr>
        <w:t xml:space="preserve">під час роботи </w:t>
      </w:r>
      <w:r w:rsidRPr="00422616">
        <w:rPr>
          <w:rFonts w:eastAsia="Calibri"/>
          <w:snapToGrid w:val="0"/>
          <w:color w:val="000000"/>
          <w:bdr w:val="none" w:sz="0" w:space="0" w:color="auto" w:frame="1"/>
          <w:lang w:val="uk-UA" w:eastAsia="en-US" w:bidi="en-US"/>
        </w:rPr>
        <w:t>з ветеринарними препаратами.</w:t>
      </w:r>
    </w:p>
    <w:p w14:paraId="0AC9A63C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6. Фармацевтичні особливості</w:t>
      </w:r>
    </w:p>
    <w:p w14:paraId="74FAF887" w14:textId="50E06C46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ourier New"/>
          <w:b/>
          <w:color w:val="000000"/>
          <w:bdr w:val="none" w:sz="0" w:space="0" w:color="auto" w:frame="1"/>
          <w:lang w:val="uk-UA" w:eastAsia="en-US" w:bidi="en-US"/>
        </w:rPr>
        <w:t>6.1 Форми несумісності (основні)</w:t>
      </w:r>
    </w:p>
    <w:p w14:paraId="5B1D3DBD" w14:textId="77777777" w:rsidR="007D2611" w:rsidRPr="00422616" w:rsidRDefault="007D2611" w:rsidP="00422616">
      <w:pPr>
        <w:spacing w:line="276" w:lineRule="auto"/>
        <w:ind w:firstLine="708"/>
        <w:jc w:val="both"/>
        <w:rPr>
          <w:lang w:bidi="en-US"/>
        </w:rPr>
      </w:pPr>
      <w:r w:rsidRPr="00422616">
        <w:rPr>
          <w:lang w:bidi="en-US"/>
        </w:rPr>
        <w:t xml:space="preserve">Не </w:t>
      </w:r>
      <w:proofErr w:type="spellStart"/>
      <w:r w:rsidRPr="00422616">
        <w:rPr>
          <w:lang w:bidi="en-US"/>
        </w:rPr>
        <w:t>застосовувати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одночасно</w:t>
      </w:r>
      <w:proofErr w:type="spellEnd"/>
      <w:r w:rsidRPr="00422616">
        <w:rPr>
          <w:lang w:bidi="en-US"/>
        </w:rPr>
        <w:t xml:space="preserve"> з </w:t>
      </w:r>
      <w:proofErr w:type="spellStart"/>
      <w:r w:rsidRPr="00422616">
        <w:rPr>
          <w:lang w:bidi="en-US"/>
        </w:rPr>
        <w:t>нестероїдними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протизапальними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засобами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антибіотиками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групи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макролідів</w:t>
      </w:r>
      <w:proofErr w:type="spellEnd"/>
      <w:r w:rsidRPr="00422616">
        <w:rPr>
          <w:lang w:bidi="en-US"/>
        </w:rPr>
        <w:t xml:space="preserve">, </w:t>
      </w:r>
      <w:proofErr w:type="spellStart"/>
      <w:r w:rsidRPr="00422616">
        <w:rPr>
          <w:lang w:bidi="en-US"/>
        </w:rPr>
        <w:t>тетрацикліном</w:t>
      </w:r>
      <w:proofErr w:type="spellEnd"/>
      <w:r w:rsidRPr="00422616">
        <w:rPr>
          <w:lang w:bidi="en-US"/>
        </w:rPr>
        <w:t xml:space="preserve"> та </w:t>
      </w:r>
      <w:proofErr w:type="spellStart"/>
      <w:r w:rsidRPr="00422616">
        <w:rPr>
          <w:lang w:bidi="en-US"/>
        </w:rPr>
        <w:t>хлорамфеніколом</w:t>
      </w:r>
      <w:proofErr w:type="spellEnd"/>
      <w:r w:rsidRPr="00422616">
        <w:rPr>
          <w:lang w:bidi="en-US"/>
        </w:rPr>
        <w:t>.</w:t>
      </w:r>
    </w:p>
    <w:p w14:paraId="0BD66EAE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6.2 Термін придатності</w:t>
      </w:r>
    </w:p>
    <w:p w14:paraId="3C60B5B8" w14:textId="77777777" w:rsidR="007D2611" w:rsidRPr="00422616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proofErr w:type="spellStart"/>
      <w:r w:rsidRPr="00422616">
        <w:rPr>
          <w:lang w:eastAsia="en-US" w:bidi="en-US"/>
        </w:rPr>
        <w:t>Термін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придатності</w:t>
      </w:r>
      <w:proofErr w:type="spellEnd"/>
      <w:r w:rsidRPr="00422616">
        <w:rPr>
          <w:lang w:eastAsia="en-US" w:bidi="en-US"/>
        </w:rPr>
        <w:t xml:space="preserve"> препарату – 2 роки.</w:t>
      </w:r>
    </w:p>
    <w:p w14:paraId="652829A2" w14:textId="7A4FA885" w:rsidR="007D2611" w:rsidRPr="00422616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proofErr w:type="spellStart"/>
      <w:r w:rsidRPr="00422616">
        <w:rPr>
          <w:lang w:eastAsia="en-US" w:bidi="en-US"/>
        </w:rPr>
        <w:t>Термін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придатності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після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першого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відкриття</w:t>
      </w:r>
      <w:proofErr w:type="spellEnd"/>
      <w:r w:rsidRPr="00422616">
        <w:rPr>
          <w:lang w:eastAsia="en-US" w:bidi="en-US"/>
        </w:rPr>
        <w:t xml:space="preserve"> флакону – 14 </w:t>
      </w:r>
      <w:proofErr w:type="spellStart"/>
      <w:r w:rsidRPr="00422616">
        <w:rPr>
          <w:lang w:eastAsia="en-US" w:bidi="en-US"/>
        </w:rPr>
        <w:t>діб</w:t>
      </w:r>
      <w:proofErr w:type="spellEnd"/>
      <w:r w:rsidRPr="00422616">
        <w:rPr>
          <w:lang w:eastAsia="en-US" w:bidi="en-US"/>
        </w:rPr>
        <w:t xml:space="preserve"> за </w:t>
      </w:r>
      <w:proofErr w:type="spellStart"/>
      <w:r w:rsidRPr="00422616">
        <w:rPr>
          <w:lang w:eastAsia="en-US" w:bidi="en-US"/>
        </w:rPr>
        <w:t>умови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зберігання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його</w:t>
      </w:r>
      <w:proofErr w:type="spellEnd"/>
      <w:r w:rsidRPr="00422616">
        <w:rPr>
          <w:lang w:eastAsia="en-US" w:bidi="en-US"/>
        </w:rPr>
        <w:t xml:space="preserve"> </w:t>
      </w:r>
      <w:r w:rsidR="00C335BC" w:rsidRPr="00422616">
        <w:rPr>
          <w:lang w:val="uk-UA" w:eastAsia="en-US" w:bidi="en-US"/>
        </w:rPr>
        <w:t>в</w:t>
      </w:r>
      <w:r w:rsidRPr="00422616">
        <w:rPr>
          <w:lang w:eastAsia="en-US" w:bidi="en-US"/>
        </w:rPr>
        <w:t xml:space="preserve"> темному </w:t>
      </w:r>
      <w:proofErr w:type="spellStart"/>
      <w:r w:rsidRPr="00422616">
        <w:rPr>
          <w:lang w:eastAsia="en-US" w:bidi="en-US"/>
        </w:rPr>
        <w:t>місці</w:t>
      </w:r>
      <w:proofErr w:type="spellEnd"/>
      <w:r w:rsidRPr="00422616">
        <w:rPr>
          <w:lang w:eastAsia="en-US" w:bidi="en-US"/>
        </w:rPr>
        <w:t xml:space="preserve"> за </w:t>
      </w:r>
      <w:proofErr w:type="spellStart"/>
      <w:r w:rsidRPr="00422616">
        <w:rPr>
          <w:lang w:eastAsia="en-US" w:bidi="en-US"/>
        </w:rPr>
        <w:t>температури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від</w:t>
      </w:r>
      <w:proofErr w:type="spellEnd"/>
      <w:r w:rsidRPr="00422616">
        <w:rPr>
          <w:lang w:eastAsia="en-US" w:bidi="en-US"/>
        </w:rPr>
        <w:t xml:space="preserve"> 5 до 25 °С.</w:t>
      </w:r>
    </w:p>
    <w:p w14:paraId="50D22B3B" w14:textId="5D00EE93" w:rsidR="007D2611" w:rsidRPr="00422616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proofErr w:type="spellStart"/>
      <w:r w:rsidRPr="00422616">
        <w:rPr>
          <w:lang w:eastAsia="en-US" w:bidi="en-US"/>
        </w:rPr>
        <w:t>Після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розведення</w:t>
      </w:r>
      <w:proofErr w:type="spellEnd"/>
      <w:r w:rsidRPr="00422616">
        <w:rPr>
          <w:lang w:eastAsia="en-US" w:bidi="en-US"/>
        </w:rPr>
        <w:t xml:space="preserve"> водою препарат </w:t>
      </w:r>
      <w:proofErr w:type="spellStart"/>
      <w:r w:rsidRPr="00422616">
        <w:rPr>
          <w:lang w:eastAsia="en-US" w:bidi="en-US"/>
        </w:rPr>
        <w:t>необхідно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використати</w:t>
      </w:r>
      <w:proofErr w:type="spellEnd"/>
      <w:r w:rsidRPr="00422616">
        <w:rPr>
          <w:lang w:eastAsia="en-US" w:bidi="en-US"/>
        </w:rPr>
        <w:t xml:space="preserve"> </w:t>
      </w:r>
      <w:proofErr w:type="spellStart"/>
      <w:r w:rsidRPr="00422616">
        <w:rPr>
          <w:lang w:eastAsia="en-US" w:bidi="en-US"/>
        </w:rPr>
        <w:t>впродовж</w:t>
      </w:r>
      <w:proofErr w:type="spellEnd"/>
      <w:r w:rsidRPr="00422616">
        <w:rPr>
          <w:lang w:eastAsia="en-US" w:bidi="en-US"/>
        </w:rPr>
        <w:t xml:space="preserve"> 24 год.</w:t>
      </w:r>
    </w:p>
    <w:p w14:paraId="29D1482F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ourier New"/>
          <w:snapToGrid w:val="0"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6.3 Особливі заходи зберігання</w:t>
      </w:r>
    </w:p>
    <w:p w14:paraId="5CCAED11" w14:textId="64162898" w:rsidR="007D2611" w:rsidRPr="00422616" w:rsidRDefault="007D2611" w:rsidP="00422616">
      <w:pPr>
        <w:spacing w:line="276" w:lineRule="auto"/>
        <w:ind w:firstLine="709"/>
        <w:jc w:val="both"/>
        <w:rPr>
          <w:lang w:eastAsia="en-US" w:bidi="en-US"/>
        </w:rPr>
      </w:pPr>
      <w:r w:rsidRPr="00422616">
        <w:rPr>
          <w:lang w:val="uk-UA" w:eastAsia="en-US" w:bidi="en-US"/>
        </w:rPr>
        <w:t>Темне, недоступне для дітей місце за температури від 5 до 25 °С.</w:t>
      </w:r>
    </w:p>
    <w:p w14:paraId="6FF595A4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6.4 Природа і склад контейнера первинного упакування</w:t>
      </w:r>
    </w:p>
    <w:p w14:paraId="3B7AA712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proofErr w:type="spellStart"/>
      <w:r w:rsidRPr="00422616">
        <w:rPr>
          <w:lang w:bidi="en-US"/>
        </w:rPr>
        <w:t>Скляні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флакони</w:t>
      </w:r>
      <w:proofErr w:type="spellEnd"/>
      <w:r w:rsidRPr="00422616">
        <w:rPr>
          <w:lang w:bidi="en-US"/>
        </w:rPr>
        <w:t xml:space="preserve"> по 10 мл; </w:t>
      </w:r>
      <w:proofErr w:type="spellStart"/>
      <w:r w:rsidRPr="00422616">
        <w:rPr>
          <w:lang w:bidi="en-US"/>
        </w:rPr>
        <w:t>полімерні</w:t>
      </w:r>
      <w:proofErr w:type="spellEnd"/>
      <w:r w:rsidRPr="00422616">
        <w:rPr>
          <w:lang w:bidi="en-US"/>
        </w:rPr>
        <w:t xml:space="preserve"> </w:t>
      </w:r>
      <w:proofErr w:type="spellStart"/>
      <w:r w:rsidRPr="00422616">
        <w:rPr>
          <w:lang w:bidi="en-US"/>
        </w:rPr>
        <w:t>флакони</w:t>
      </w:r>
      <w:proofErr w:type="spellEnd"/>
      <w:r w:rsidRPr="00422616">
        <w:rPr>
          <w:lang w:bidi="en-US"/>
        </w:rPr>
        <w:t xml:space="preserve"> по 1000 мл</w:t>
      </w:r>
      <w:r w:rsidRPr="00422616">
        <w:rPr>
          <w:lang w:val="uk-UA" w:bidi="en-US"/>
        </w:rPr>
        <w:t>.</w:t>
      </w: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 xml:space="preserve"> </w:t>
      </w:r>
    </w:p>
    <w:p w14:paraId="6B6825FE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>6.5 Особливі заходи безпеки при поводженні з невикористаним препаратом або із його залишками</w:t>
      </w:r>
    </w:p>
    <w:p w14:paraId="158673EB" w14:textId="77777777" w:rsidR="007D2611" w:rsidRPr="00422616" w:rsidRDefault="007D2611" w:rsidP="004226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ourier New"/>
          <w:color w:val="000000"/>
          <w:bdr w:val="none" w:sz="0" w:space="0" w:color="auto" w:frame="1"/>
          <w:lang w:val="uk-UA" w:eastAsia="en-US" w:bidi="en-US"/>
        </w:rPr>
        <w:t>Ветеринарні препарати не повинні потрапляти у воду. Необхідно дотримуватись інструкцій місцевих влад по утилізації ветеринарних препаратів.</w:t>
      </w:r>
    </w:p>
    <w:p w14:paraId="6219AE8C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  <w:t xml:space="preserve">7. Назва та місцезнаходження власника реєстраційного посвідчення </w:t>
      </w:r>
    </w:p>
    <w:p w14:paraId="0E4A2933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Cs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Cs/>
          <w:color w:val="000000"/>
          <w:bdr w:val="none" w:sz="0" w:space="0" w:color="auto" w:frame="1"/>
          <w:lang w:val="uk-UA" w:eastAsia="en-US" w:bidi="en-US"/>
        </w:rPr>
        <w:t>ТОВ "БІОТЕСТЛАБ"</w:t>
      </w:r>
    </w:p>
    <w:p w14:paraId="4E1B3210" w14:textId="6583AB59" w:rsidR="007D2611" w:rsidRPr="00422616" w:rsidRDefault="007D2611" w:rsidP="00422616">
      <w:pPr>
        <w:spacing w:line="276" w:lineRule="auto"/>
        <w:ind w:firstLine="708"/>
        <w:jc w:val="both"/>
        <w:rPr>
          <w:kern w:val="2"/>
          <w:lang w:val="uk-UA"/>
          <w14:ligatures w14:val="standardContextual"/>
        </w:rPr>
      </w:pPr>
      <w:r w:rsidRPr="00422616">
        <w:rPr>
          <w:kern w:val="2"/>
          <w:lang w:val="uk-UA"/>
          <w14:ligatures w14:val="standardContextual"/>
        </w:rPr>
        <w:t>Україна, 08601, Київська область, м. Васильків,  вул. Володимирська, 57-А</w:t>
      </w:r>
    </w:p>
    <w:p w14:paraId="045C73EC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  <w:t>8. Назва та місцезнаходження виробника (виробників)</w:t>
      </w:r>
    </w:p>
    <w:p w14:paraId="69D7CB9F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lang w:eastAsia="en-US" w:bidi="en-US"/>
        </w:rPr>
        <w:t xml:space="preserve">ТОВ „БІОТЕСТЛАБ” </w:t>
      </w:r>
    </w:p>
    <w:p w14:paraId="16AB7705" w14:textId="311509A9" w:rsidR="007D2611" w:rsidRPr="00422616" w:rsidRDefault="007D2611" w:rsidP="00422616">
      <w:pPr>
        <w:spacing w:line="276" w:lineRule="auto"/>
        <w:ind w:firstLine="708"/>
        <w:jc w:val="both"/>
        <w:rPr>
          <w:kern w:val="2"/>
          <w:lang w:val="uk-UA"/>
          <w14:ligatures w14:val="standardContextual"/>
        </w:rPr>
      </w:pPr>
      <w:r w:rsidRPr="00422616">
        <w:rPr>
          <w:kern w:val="2"/>
          <w:lang w:val="uk-UA"/>
          <w14:ligatures w14:val="standardContextual"/>
        </w:rPr>
        <w:t xml:space="preserve">Україна, 08601, Київська область,  Обухівський район, м. Васильків, </w:t>
      </w:r>
    </w:p>
    <w:p w14:paraId="4B01AFA4" w14:textId="77777777" w:rsidR="007D2611" w:rsidRPr="00422616" w:rsidRDefault="007D2611" w:rsidP="00422616">
      <w:pPr>
        <w:spacing w:line="276" w:lineRule="auto"/>
        <w:ind w:firstLine="708"/>
        <w:jc w:val="both"/>
        <w:rPr>
          <w:kern w:val="2"/>
          <w:lang w:val="uk-UA"/>
          <w14:ligatures w14:val="standardContextual"/>
        </w:rPr>
      </w:pPr>
      <w:r w:rsidRPr="00422616">
        <w:rPr>
          <w:kern w:val="2"/>
          <w:lang w:val="uk-UA"/>
          <w14:ligatures w14:val="standardContextual"/>
        </w:rPr>
        <w:t xml:space="preserve">вул. </w:t>
      </w:r>
      <w:proofErr w:type="spellStart"/>
      <w:r w:rsidRPr="00422616">
        <w:rPr>
          <w:kern w:val="2"/>
          <w:lang w:val="uk-UA"/>
          <w14:ligatures w14:val="standardContextual"/>
        </w:rPr>
        <w:t>Лістрового</w:t>
      </w:r>
      <w:proofErr w:type="spellEnd"/>
      <w:r w:rsidRPr="00422616">
        <w:rPr>
          <w:kern w:val="2"/>
          <w:lang w:val="uk-UA"/>
          <w14:ligatures w14:val="standardContextual"/>
        </w:rPr>
        <w:t xml:space="preserve"> Олександра, 1/3</w:t>
      </w:r>
    </w:p>
    <w:p w14:paraId="1ABC0298" w14:textId="77777777" w:rsidR="007D2611" w:rsidRPr="00422616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/>
          <w:color w:val="000000"/>
          <w:bdr w:val="none" w:sz="0" w:space="0" w:color="auto" w:frame="1"/>
          <w:lang w:val="uk-UA" w:eastAsia="en-US" w:bidi="en-US"/>
        </w:rPr>
        <w:t xml:space="preserve">9. Додаткова інформація </w:t>
      </w:r>
    </w:p>
    <w:p w14:paraId="39BC36CB" w14:textId="77777777" w:rsidR="007D2611" w:rsidRPr="007D2611" w:rsidRDefault="007D2611" w:rsidP="00422616">
      <w:pPr>
        <w:widowControl w:val="0"/>
        <w:spacing w:line="276" w:lineRule="auto"/>
        <w:ind w:firstLine="709"/>
        <w:jc w:val="both"/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</w:pPr>
      <w:r w:rsidRPr="00422616">
        <w:rPr>
          <w:rFonts w:eastAsia="Calibri"/>
          <w:bCs/>
          <w:color w:val="000000"/>
          <w:bdr w:val="none" w:sz="0" w:space="0" w:color="auto" w:frame="1"/>
          <w:lang w:val="uk-UA" w:eastAsia="en-US" w:bidi="en-US"/>
        </w:rPr>
        <w:t>Відсутня</w:t>
      </w:r>
      <w:r w:rsidRPr="00422616">
        <w:rPr>
          <w:rFonts w:eastAsia="Calibri"/>
          <w:b/>
          <w:bCs/>
          <w:color w:val="000000"/>
          <w:bdr w:val="none" w:sz="0" w:space="0" w:color="auto" w:frame="1"/>
          <w:lang w:val="uk-UA" w:eastAsia="en-US" w:bidi="en-US"/>
        </w:rPr>
        <w:t>.</w:t>
      </w:r>
    </w:p>
    <w:p w14:paraId="048EDEB8" w14:textId="77777777" w:rsidR="007D2611" w:rsidRPr="007D2611" w:rsidRDefault="007D2611" w:rsidP="00422616">
      <w:pPr>
        <w:spacing w:line="276" w:lineRule="auto"/>
        <w:jc w:val="both"/>
        <w:rPr>
          <w:lang w:eastAsia="en-US" w:bidi="en-US"/>
        </w:rPr>
      </w:pPr>
    </w:p>
    <w:sectPr w:rsidR="007D2611" w:rsidRPr="007D2611" w:rsidSect="000738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B4C86" w14:textId="77777777" w:rsidR="008A03B3" w:rsidRDefault="008A03B3" w:rsidP="00EB429C">
      <w:r>
        <w:separator/>
      </w:r>
    </w:p>
  </w:endnote>
  <w:endnote w:type="continuationSeparator" w:id="0">
    <w:p w14:paraId="398FCB3A" w14:textId="77777777" w:rsidR="008A03B3" w:rsidRDefault="008A03B3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8435"/>
      <w:docPartObj>
        <w:docPartGallery w:val="Page Numbers (Bottom of Page)"/>
        <w:docPartUnique/>
      </w:docPartObj>
    </w:sdtPr>
    <w:sdtEndPr/>
    <w:sdtContent>
      <w:p w14:paraId="38237CC8" w14:textId="1C12248A" w:rsidR="00454825" w:rsidRDefault="0045482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F8">
          <w:rPr>
            <w:noProof/>
          </w:rPr>
          <w:t>2</w:t>
        </w:r>
        <w:r>
          <w:fldChar w:fldCharType="end"/>
        </w:r>
      </w:p>
    </w:sdtContent>
  </w:sdt>
  <w:p w14:paraId="30794A48" w14:textId="77777777" w:rsidR="00454825" w:rsidRDefault="0045482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599772"/>
      <w:docPartObj>
        <w:docPartGallery w:val="Page Numbers (Bottom of Page)"/>
        <w:docPartUnique/>
      </w:docPartObj>
    </w:sdtPr>
    <w:sdtEndPr/>
    <w:sdtContent>
      <w:p w14:paraId="3077F6DB" w14:textId="6787E665" w:rsidR="00454825" w:rsidRDefault="0045482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7F8">
          <w:rPr>
            <w:noProof/>
          </w:rPr>
          <w:t>1</w:t>
        </w:r>
        <w:r>
          <w:fldChar w:fldCharType="end"/>
        </w:r>
      </w:p>
    </w:sdtContent>
  </w:sdt>
  <w:p w14:paraId="527674E2" w14:textId="77777777" w:rsidR="00454825" w:rsidRDefault="0045482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62F22" w14:textId="77777777" w:rsidR="008A03B3" w:rsidRDefault="008A03B3" w:rsidP="00EB429C">
      <w:r>
        <w:separator/>
      </w:r>
    </w:p>
  </w:footnote>
  <w:footnote w:type="continuationSeparator" w:id="0">
    <w:p w14:paraId="59518556" w14:textId="77777777" w:rsidR="008A03B3" w:rsidRDefault="008A03B3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7561" w14:textId="4ED547A0" w:rsidR="00454825" w:rsidRPr="0007385D" w:rsidRDefault="004A71C9" w:rsidP="00EB429C">
    <w:pPr>
      <w:pStyle w:val="ad"/>
      <w:jc w:val="right"/>
      <w:rPr>
        <w:lang w:val="uk-UA"/>
      </w:rPr>
    </w:pPr>
    <w:r>
      <w:rPr>
        <w:lang w:val="uk-UA"/>
      </w:rPr>
      <w:t>Продовження д</w:t>
    </w:r>
    <w:r w:rsidR="00454825" w:rsidRPr="0007385D">
      <w:rPr>
        <w:lang w:val="uk-UA"/>
      </w:rPr>
      <w:t xml:space="preserve">одатку1  </w:t>
    </w:r>
  </w:p>
  <w:p w14:paraId="692BF4F6" w14:textId="10665380" w:rsidR="00454825" w:rsidRDefault="00454825" w:rsidP="001E6EA3">
    <w:pPr>
      <w:pStyle w:val="ad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</w:t>
    </w:r>
    <w:r>
      <w:rPr>
        <w:bCs/>
        <w:lang w:val="uk-UA"/>
      </w:rPr>
      <w:t xml:space="preserve"> </w:t>
    </w:r>
  </w:p>
  <w:p w14:paraId="000A7325" w14:textId="77777777" w:rsidR="00454825" w:rsidRPr="0007385D" w:rsidRDefault="00454825" w:rsidP="001E6EA3">
    <w:pPr>
      <w:pStyle w:val="ad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FD182" w14:textId="0D0E3973" w:rsidR="00454825" w:rsidRPr="0007385D" w:rsidRDefault="00454825" w:rsidP="0007385D">
    <w:pPr>
      <w:pStyle w:val="ad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1AA77C8B" w14:textId="4408929A" w:rsidR="00454825" w:rsidRPr="000B4455" w:rsidRDefault="00454825" w:rsidP="001E6EA3">
    <w:pPr>
      <w:pStyle w:val="ad"/>
      <w:jc w:val="right"/>
      <w:rPr>
        <w:bCs/>
        <w:color w:val="000000"/>
        <w:szCs w:val="28"/>
        <w:lang w:val="en-US" w:eastAsia="uk-UA"/>
      </w:rPr>
    </w:pPr>
    <w:r w:rsidRPr="0007385D">
      <w:rPr>
        <w:lang w:val="uk-UA"/>
      </w:rPr>
      <w:t xml:space="preserve">до реєстраційного посвідчення  </w:t>
    </w:r>
  </w:p>
  <w:p w14:paraId="30486F41" w14:textId="77777777" w:rsidR="00454825" w:rsidRPr="0007385D" w:rsidRDefault="00454825" w:rsidP="001E6EA3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27B32CC"/>
    <w:multiLevelType w:val="hybridMultilevel"/>
    <w:tmpl w:val="5C326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FD3160"/>
    <w:multiLevelType w:val="hybridMultilevel"/>
    <w:tmpl w:val="9392F47E"/>
    <w:lvl w:ilvl="0" w:tplc="693E11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5"/>
    <w:rsid w:val="0007385D"/>
    <w:rsid w:val="000B4455"/>
    <w:rsid w:val="000C4FA2"/>
    <w:rsid w:val="000E45FC"/>
    <w:rsid w:val="00194F83"/>
    <w:rsid w:val="001E6EA3"/>
    <w:rsid w:val="002F65D7"/>
    <w:rsid w:val="00347D1C"/>
    <w:rsid w:val="003B546F"/>
    <w:rsid w:val="003C21DA"/>
    <w:rsid w:val="00422616"/>
    <w:rsid w:val="00454825"/>
    <w:rsid w:val="004A71C9"/>
    <w:rsid w:val="005347F8"/>
    <w:rsid w:val="0055617B"/>
    <w:rsid w:val="005D0388"/>
    <w:rsid w:val="007561E6"/>
    <w:rsid w:val="00791CE0"/>
    <w:rsid w:val="007D2611"/>
    <w:rsid w:val="00805B0C"/>
    <w:rsid w:val="008A03B3"/>
    <w:rsid w:val="009F2B1F"/>
    <w:rsid w:val="00A10651"/>
    <w:rsid w:val="00A95855"/>
    <w:rsid w:val="00AB7585"/>
    <w:rsid w:val="00AC0BE1"/>
    <w:rsid w:val="00AD1517"/>
    <w:rsid w:val="00AD668F"/>
    <w:rsid w:val="00AE0111"/>
    <w:rsid w:val="00C154AA"/>
    <w:rsid w:val="00C335BC"/>
    <w:rsid w:val="00C94755"/>
    <w:rsid w:val="00E123A4"/>
    <w:rsid w:val="00EB429C"/>
    <w:rsid w:val="00EE5F45"/>
    <w:rsid w:val="00F360C1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68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AE01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E011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E011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01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E0111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AE01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0111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AE01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E011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E0111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E01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E0111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AE01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0111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Inna_Pavluk</cp:lastModifiedBy>
  <cp:revision>3</cp:revision>
  <cp:lastPrinted>2026-03-27T13:56:00Z</cp:lastPrinted>
  <dcterms:created xsi:type="dcterms:W3CDTF">2026-04-15T06:17:00Z</dcterms:created>
  <dcterms:modified xsi:type="dcterms:W3CDTF">2026-04-15T11:56:00Z</dcterms:modified>
</cp:coreProperties>
</file>