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9382D" w14:textId="77777777" w:rsidR="00940B51" w:rsidRPr="00D34CB2" w:rsidRDefault="00940B51" w:rsidP="00D34CB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uk-UA"/>
        </w:rPr>
      </w:pPr>
      <w:bookmarkStart w:id="0" w:name="bookmark1"/>
      <w:r w:rsidRPr="00D34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uk-UA"/>
        </w:rPr>
        <w:t>Коротка характеристика препарату</w:t>
      </w:r>
      <w:bookmarkEnd w:id="0"/>
    </w:p>
    <w:p w14:paraId="4753A0EA" w14:textId="77777777" w:rsidR="00E3745D" w:rsidRDefault="00E3745D" w:rsidP="00E3745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1" w:name="bookmark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1.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Назва</w:t>
      </w:r>
      <w:bookmarkEnd w:id="1"/>
    </w:p>
    <w:p w14:paraId="0E338A3F" w14:textId="7140358F" w:rsidR="00940B51" w:rsidRPr="00E3745D" w:rsidRDefault="00940B51" w:rsidP="00E3745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АЛЬБЕНСЕПТ</w:t>
      </w:r>
    </w:p>
    <w:p w14:paraId="6A4B4802" w14:textId="70891246" w:rsidR="00940B51" w:rsidRPr="00940B51" w:rsidRDefault="00E3745D" w:rsidP="00E3745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2" w:name="bookmark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2.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Склад</w:t>
      </w:r>
      <w:bookmarkEnd w:id="2"/>
    </w:p>
    <w:p w14:paraId="52869985" w14:textId="77777777" w:rsidR="00E3745D" w:rsidRDefault="00E3745D" w:rsidP="00FD1B78">
      <w:pPr>
        <w:widowControl w:val="0"/>
        <w:spacing w:after="0" w:line="274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3" w:name="bookmark4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1 таблетка (2,0 г) містить діючу речовину</w:t>
      </w:r>
      <w:r w:rsidRPr="007830F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(</w:t>
      </w: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мг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)</w:t>
      </w: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: </w:t>
      </w:r>
    </w:p>
    <w:p w14:paraId="10BC7642" w14:textId="77777777" w:rsidR="00E3745D" w:rsidRPr="001305C3" w:rsidRDefault="00E3745D" w:rsidP="00FD1B78">
      <w:pPr>
        <w:widowControl w:val="0"/>
        <w:spacing w:after="0" w:line="274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proofErr w:type="spellStart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</w:t>
      </w:r>
      <w:proofErr w:type="spellEnd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– </w:t>
      </w: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360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,0</w:t>
      </w: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.</w:t>
      </w:r>
    </w:p>
    <w:p w14:paraId="29118DE1" w14:textId="77777777" w:rsidR="00E3745D" w:rsidRPr="001305C3" w:rsidRDefault="00E3745D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Допоміжні речовини: </w:t>
      </w:r>
      <w:r w:rsidRPr="00A47B6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ароматизатор</w:t>
      </w: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крохмаль, кальцію </w:t>
      </w:r>
      <w:proofErr w:type="spellStart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стеарат</w:t>
      </w:r>
      <w:proofErr w:type="spellEnd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, лактоза.</w:t>
      </w:r>
    </w:p>
    <w:p w14:paraId="2A7080D5" w14:textId="77777777" w:rsidR="00E3745D" w:rsidRDefault="00E374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3.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Фармацевтична форма </w:t>
      </w:r>
    </w:p>
    <w:p w14:paraId="5BD427E0" w14:textId="34E9DF55" w:rsidR="00940B51" w:rsidRPr="00940B51" w:rsidRDefault="00940B51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Таблетки</w:t>
      </w:r>
      <w:bookmarkEnd w:id="3"/>
      <w:r w:rsidR="00E374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.</w:t>
      </w:r>
    </w:p>
    <w:p w14:paraId="750AADBD" w14:textId="6D2BA4F3" w:rsidR="00940B51" w:rsidRPr="00940B51" w:rsidRDefault="00E374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4" w:name="bookmark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4.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Фармакологічні властивості</w:t>
      </w:r>
      <w:bookmarkEnd w:id="4"/>
    </w:p>
    <w:p w14:paraId="35B8250C" w14:textId="77777777" w:rsidR="00940B51" w:rsidRPr="00940B51" w:rsidRDefault="00940B51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 w:bidi="uk-UA"/>
        </w:rPr>
      </w:pPr>
      <w:r w:rsidRPr="00940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fr-FR" w:eastAsia="fr-FR" w:bidi="fr-FR"/>
        </w:rPr>
        <w:t xml:space="preserve">ATCvet QP52, </w:t>
      </w:r>
      <w:proofErr w:type="spellStart"/>
      <w:r w:rsidRPr="00940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 w:bidi="uk-UA"/>
        </w:rPr>
        <w:t>антигельмінтні</w:t>
      </w:r>
      <w:proofErr w:type="spellEnd"/>
      <w:r w:rsidRPr="00940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 w:bidi="uk-UA"/>
        </w:rPr>
        <w:t xml:space="preserve"> ветеринарні препарати </w:t>
      </w:r>
      <w:r w:rsidRPr="00940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fr-FR" w:eastAsia="fr-FR" w:bidi="fr-FR"/>
        </w:rPr>
        <w:t xml:space="preserve">(QP52AC11, </w:t>
      </w:r>
      <w:proofErr w:type="spellStart"/>
      <w:r w:rsidRPr="00940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 w:bidi="uk-UA"/>
        </w:rPr>
        <w:t>альбендазол</w:t>
      </w:r>
      <w:proofErr w:type="spellEnd"/>
      <w:r w:rsidRPr="00940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 w:bidi="uk-UA"/>
        </w:rPr>
        <w:t>)</w:t>
      </w:r>
    </w:p>
    <w:p w14:paraId="533FC0DF" w14:textId="77777777" w:rsidR="00E3745D" w:rsidRPr="001305C3" w:rsidRDefault="00E3745D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5" w:name="bookmark6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Діюча речовина препарату </w:t>
      </w:r>
      <w:proofErr w:type="spellStart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</w:t>
      </w:r>
      <w:proofErr w:type="spellEnd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належить до групи </w:t>
      </w:r>
      <w:proofErr w:type="spellStart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бензімідазолів</w:t>
      </w:r>
      <w:proofErr w:type="spellEnd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.</w:t>
      </w:r>
    </w:p>
    <w:p w14:paraId="4FD715C9" w14:textId="77777777" w:rsidR="00E3745D" w:rsidRPr="001305C3" w:rsidRDefault="00E3745D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Механізм дії </w:t>
      </w:r>
      <w:proofErr w:type="spellStart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альбендазолу</w:t>
      </w:r>
      <w:proofErr w:type="spellEnd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полягає в порушенні процесів білкового (</w:t>
      </w:r>
      <w:proofErr w:type="spellStart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тубулярного</w:t>
      </w:r>
      <w:proofErr w:type="spellEnd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) синтезу, внаслідок чого гальмується синтез </w:t>
      </w:r>
      <w:proofErr w:type="spellStart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фумаратредуктази</w:t>
      </w:r>
      <w:proofErr w:type="spellEnd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що призводить до зменшення глікогенів, а 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спричиня</w:t>
      </w: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є загибель паразитів від енергетичного виснаження.</w:t>
      </w:r>
    </w:p>
    <w:p w14:paraId="096B93A5" w14:textId="77777777" w:rsidR="00E3745D" w:rsidRPr="00034A6D" w:rsidRDefault="00E3745D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погано всмоктується за внутрішнього застосування,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біодоступність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за застосування натщесерце становить близько 5%, за згодовування корму, що містить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біодоступність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зростає в 5 разів. Максимальна концентрація в крові досягається протягом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– </w:t>
      </w:r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5 годин. Високі концентрації препарату створюються в сечі, жовчі, спинномозковій рідині, печінці. Препарат добре проникає через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гематоенцефалічний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бар'єр.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проникає через плацентарний бар'єр і виділяється з молоком. Зв’язується з білками плазми крові на 70%.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Альбендазолу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сульфоксид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у печінці перетворюється в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альбендазолу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сульфон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(вторинний метаболіт) та інші окиснені продукти. Період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напіввиведення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(Т</w:t>
      </w:r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 w:bidi="uk-UA"/>
        </w:rPr>
        <w:t>1/2</w:t>
      </w:r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)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альбендазолу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сульфоксиду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–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– </w:t>
      </w:r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12 годин.</w:t>
      </w:r>
    </w:p>
    <w:p w14:paraId="7F0BC953" w14:textId="77777777" w:rsidR="00E3745D" w:rsidRPr="00E82B70" w:rsidRDefault="00E3745D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Виводиться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з організму переважно з жовчю, частково з сечею. Період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напіввиведення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препарату складає в середньому 8,5 годин; при порушенні функції печінки цей час може збільшуватись.</w:t>
      </w:r>
    </w:p>
    <w:p w14:paraId="508FC748" w14:textId="77777777" w:rsidR="00E3745D" w:rsidRDefault="00E374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Клінічні особливості</w:t>
      </w:r>
      <w:bookmarkStart w:id="6" w:name="bookmark7"/>
      <w:bookmarkEnd w:id="5"/>
    </w:p>
    <w:p w14:paraId="667BE7E5" w14:textId="03DFAF99" w:rsidR="00940B51" w:rsidRPr="00940B51" w:rsidRDefault="00E374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5.1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Вид тварин</w:t>
      </w:r>
      <w:bookmarkEnd w:id="6"/>
    </w:p>
    <w:p w14:paraId="3A7C332E" w14:textId="3301B27B" w:rsidR="00940B51" w:rsidRPr="00940B51" w:rsidRDefault="00940B51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Собаки та коти.</w:t>
      </w:r>
    </w:p>
    <w:p w14:paraId="49C43045" w14:textId="3E991443" w:rsidR="00940B51" w:rsidRPr="00940B51" w:rsidRDefault="00E374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7" w:name="bookmark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5.2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Показання до застосування</w:t>
      </w:r>
      <w:bookmarkEnd w:id="7"/>
    </w:p>
    <w:p w14:paraId="23D69DF9" w14:textId="79796678" w:rsidR="00E3745D" w:rsidRDefault="00E3745D" w:rsidP="00FD1B78">
      <w:pPr>
        <w:pStyle w:val="cs80d9435b"/>
        <w:ind w:firstLine="567"/>
        <w:rPr>
          <w:color w:val="000000"/>
        </w:rPr>
      </w:pPr>
      <w:bookmarkStart w:id="8" w:name="bookmark9"/>
      <w:r w:rsidRPr="001305C3">
        <w:rPr>
          <w:color w:val="000000"/>
          <w:lang w:bidi="uk-UA"/>
        </w:rPr>
        <w:t xml:space="preserve">Лікування і профілактика </w:t>
      </w:r>
      <w:r>
        <w:rPr>
          <w:color w:val="000000"/>
          <w:lang w:bidi="uk-UA"/>
        </w:rPr>
        <w:t>паразитарних захворювань</w:t>
      </w:r>
      <w:r w:rsidRPr="00EE5326">
        <w:rPr>
          <w:color w:val="000000"/>
        </w:rPr>
        <w:t>  </w:t>
      </w:r>
      <w:r w:rsidRPr="004403F1">
        <w:rPr>
          <w:color w:val="000000"/>
        </w:rPr>
        <w:t>у собак та котів</w:t>
      </w:r>
      <w:r>
        <w:rPr>
          <w:color w:val="000000"/>
          <w:lang w:val="ru-RU"/>
        </w:rPr>
        <w:t xml:space="preserve"> за </w:t>
      </w:r>
      <w:proofErr w:type="spellStart"/>
      <w:r>
        <w:rPr>
          <w:color w:val="000000"/>
          <w:lang w:val="ru-RU"/>
        </w:rPr>
        <w:t>захворювань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спричинених</w:t>
      </w:r>
      <w:proofErr w:type="spellEnd"/>
      <w:r>
        <w:rPr>
          <w:color w:val="000000"/>
        </w:rPr>
        <w:t>:</w:t>
      </w:r>
    </w:p>
    <w:p w14:paraId="7B772A27" w14:textId="77777777" w:rsidR="00E3745D" w:rsidRDefault="00E3745D" w:rsidP="00FD1B78">
      <w:pPr>
        <w:pStyle w:val="cs80d9435b"/>
        <w:ind w:firstLine="567"/>
        <w:rPr>
          <w:i/>
          <w:iCs/>
          <w:color w:val="000000"/>
        </w:rPr>
      </w:pPr>
      <w:r w:rsidRPr="00EE5326">
        <w:rPr>
          <w:color w:val="000000"/>
        </w:rPr>
        <w:t>–</w:t>
      </w:r>
      <w:r>
        <w:rPr>
          <w:color w:val="000000"/>
        </w:rPr>
        <w:t xml:space="preserve"> </w:t>
      </w:r>
      <w:r w:rsidRPr="00EE5326">
        <w:rPr>
          <w:color w:val="000000"/>
        </w:rPr>
        <w:t>нематодами</w:t>
      </w:r>
      <w:r w:rsidRPr="00487854">
        <w:rPr>
          <w:color w:val="000000"/>
        </w:rPr>
        <w:t xml:space="preserve"> травного каналу</w:t>
      </w:r>
      <w:r w:rsidRPr="00EE5326">
        <w:rPr>
          <w:color w:val="000000"/>
        </w:rPr>
        <w:t xml:space="preserve">: </w:t>
      </w:r>
      <w:proofErr w:type="spellStart"/>
      <w:r w:rsidRPr="00EE5326">
        <w:rPr>
          <w:i/>
          <w:iCs/>
          <w:color w:val="000000"/>
        </w:rPr>
        <w:t>Toxocara</w:t>
      </w:r>
      <w:proofErr w:type="spellEnd"/>
      <w:r w:rsidRPr="00EE5326">
        <w:rPr>
          <w:i/>
          <w:iCs/>
          <w:color w:val="000000"/>
        </w:rPr>
        <w:t xml:space="preserve"> </w:t>
      </w:r>
      <w:proofErr w:type="spellStart"/>
      <w:r w:rsidRPr="00EE5326">
        <w:rPr>
          <w:i/>
          <w:iCs/>
          <w:color w:val="000000"/>
        </w:rPr>
        <w:t>spp</w:t>
      </w:r>
      <w:proofErr w:type="spellEnd"/>
      <w:r w:rsidRPr="00EE5326">
        <w:rPr>
          <w:i/>
          <w:iCs/>
          <w:color w:val="000000"/>
        </w:rPr>
        <w:t xml:space="preserve">., </w:t>
      </w:r>
      <w:proofErr w:type="spellStart"/>
      <w:r w:rsidRPr="00EE5326">
        <w:rPr>
          <w:i/>
          <w:iCs/>
          <w:color w:val="000000"/>
        </w:rPr>
        <w:t>Toxascaris</w:t>
      </w:r>
      <w:proofErr w:type="spellEnd"/>
      <w:r w:rsidRPr="00EE5326">
        <w:rPr>
          <w:i/>
          <w:iCs/>
          <w:color w:val="000000"/>
        </w:rPr>
        <w:t xml:space="preserve"> </w:t>
      </w:r>
      <w:proofErr w:type="spellStart"/>
      <w:r w:rsidRPr="00EE5326">
        <w:rPr>
          <w:i/>
          <w:iCs/>
          <w:color w:val="000000"/>
        </w:rPr>
        <w:t>spp</w:t>
      </w:r>
      <w:proofErr w:type="spellEnd"/>
      <w:r w:rsidRPr="00EE5326">
        <w:rPr>
          <w:i/>
          <w:iCs/>
          <w:color w:val="000000"/>
        </w:rPr>
        <w:t xml:space="preserve">., </w:t>
      </w:r>
      <w:proofErr w:type="spellStart"/>
      <w:r w:rsidRPr="00EE5326">
        <w:rPr>
          <w:i/>
          <w:iCs/>
          <w:color w:val="000000"/>
        </w:rPr>
        <w:t>Uncinaria</w:t>
      </w:r>
      <w:proofErr w:type="spellEnd"/>
      <w:r w:rsidRPr="00EE5326">
        <w:rPr>
          <w:i/>
          <w:iCs/>
          <w:color w:val="000000"/>
        </w:rPr>
        <w:t xml:space="preserve"> </w:t>
      </w:r>
      <w:proofErr w:type="spellStart"/>
      <w:r w:rsidRPr="00EE5326">
        <w:rPr>
          <w:i/>
          <w:iCs/>
          <w:color w:val="000000"/>
        </w:rPr>
        <w:t>spp</w:t>
      </w:r>
      <w:proofErr w:type="spellEnd"/>
      <w:r w:rsidRPr="00EE5326">
        <w:rPr>
          <w:i/>
          <w:iCs/>
          <w:color w:val="000000"/>
        </w:rPr>
        <w:t xml:space="preserve">., </w:t>
      </w:r>
      <w:proofErr w:type="spellStart"/>
      <w:r w:rsidRPr="00EE5326">
        <w:rPr>
          <w:i/>
          <w:iCs/>
          <w:color w:val="000000"/>
        </w:rPr>
        <w:t>Ancylostoma</w:t>
      </w:r>
      <w:proofErr w:type="spellEnd"/>
      <w:r w:rsidRPr="00EE5326">
        <w:rPr>
          <w:i/>
          <w:iCs/>
          <w:color w:val="000000"/>
        </w:rPr>
        <w:t xml:space="preserve"> </w:t>
      </w:r>
      <w:proofErr w:type="spellStart"/>
      <w:r w:rsidRPr="00EE5326">
        <w:rPr>
          <w:i/>
          <w:iCs/>
          <w:color w:val="000000"/>
        </w:rPr>
        <w:t>spp</w:t>
      </w:r>
      <w:proofErr w:type="spellEnd"/>
      <w:r w:rsidRPr="00EE5326">
        <w:rPr>
          <w:i/>
          <w:iCs/>
          <w:color w:val="000000"/>
        </w:rPr>
        <w:t xml:space="preserve">., </w:t>
      </w:r>
      <w:proofErr w:type="spellStart"/>
      <w:r w:rsidRPr="004403F1">
        <w:rPr>
          <w:i/>
          <w:iCs/>
          <w:color w:val="000000"/>
        </w:rPr>
        <w:t>Trichuris</w:t>
      </w:r>
      <w:proofErr w:type="spellEnd"/>
      <w:r w:rsidRPr="004403F1">
        <w:rPr>
          <w:i/>
          <w:iCs/>
          <w:color w:val="000000"/>
        </w:rPr>
        <w:t xml:space="preserve"> </w:t>
      </w:r>
      <w:proofErr w:type="spellStart"/>
      <w:r w:rsidRPr="004403F1">
        <w:rPr>
          <w:i/>
          <w:iCs/>
          <w:color w:val="000000"/>
        </w:rPr>
        <w:t>spp</w:t>
      </w:r>
      <w:proofErr w:type="spellEnd"/>
      <w:r w:rsidRPr="004403F1">
        <w:rPr>
          <w:i/>
          <w:iCs/>
          <w:color w:val="000000"/>
        </w:rPr>
        <w:t>.</w:t>
      </w:r>
      <w:r>
        <w:rPr>
          <w:i/>
          <w:iCs/>
          <w:color w:val="000000"/>
        </w:rPr>
        <w:t xml:space="preserve">; </w:t>
      </w:r>
    </w:p>
    <w:p w14:paraId="25990C10" w14:textId="77777777" w:rsidR="00E3745D" w:rsidRDefault="00E3745D" w:rsidP="00FD1B78">
      <w:pPr>
        <w:pStyle w:val="cs80d9435b"/>
        <w:ind w:firstLine="567"/>
        <w:rPr>
          <w:color w:val="000000"/>
        </w:rPr>
      </w:pPr>
      <w:r w:rsidRPr="00C61232">
        <w:rPr>
          <w:color w:val="000000"/>
        </w:rPr>
        <w:t>–</w:t>
      </w:r>
      <w:r>
        <w:rPr>
          <w:color w:val="000000"/>
        </w:rPr>
        <w:t xml:space="preserve"> </w:t>
      </w:r>
      <w:proofErr w:type="spellStart"/>
      <w:r w:rsidRPr="00EE5326">
        <w:rPr>
          <w:color w:val="000000"/>
        </w:rPr>
        <w:t>цестодами</w:t>
      </w:r>
      <w:proofErr w:type="spellEnd"/>
      <w:r w:rsidRPr="00EE5326">
        <w:rPr>
          <w:i/>
          <w:iCs/>
          <w:color w:val="000000"/>
        </w:rPr>
        <w:t xml:space="preserve">: </w:t>
      </w:r>
      <w:proofErr w:type="spellStart"/>
      <w:r w:rsidRPr="004403F1">
        <w:rPr>
          <w:i/>
          <w:iCs/>
          <w:color w:val="000000"/>
        </w:rPr>
        <w:t>Taenia</w:t>
      </w:r>
      <w:proofErr w:type="spellEnd"/>
      <w:r w:rsidRPr="004403F1">
        <w:rPr>
          <w:i/>
          <w:iCs/>
          <w:color w:val="000000"/>
        </w:rPr>
        <w:t xml:space="preserve"> </w:t>
      </w:r>
      <w:proofErr w:type="spellStart"/>
      <w:r w:rsidRPr="004403F1">
        <w:rPr>
          <w:i/>
          <w:iCs/>
          <w:color w:val="000000"/>
        </w:rPr>
        <w:t>spp</w:t>
      </w:r>
      <w:proofErr w:type="spellEnd"/>
      <w:r w:rsidRPr="004403F1">
        <w:rPr>
          <w:i/>
          <w:iCs/>
          <w:color w:val="000000"/>
        </w:rPr>
        <w:t>.</w:t>
      </w:r>
      <w:r w:rsidRPr="00EE5326">
        <w:rPr>
          <w:i/>
          <w:iCs/>
          <w:color w:val="000000"/>
        </w:rPr>
        <w:t xml:space="preserve">, </w:t>
      </w:r>
      <w:proofErr w:type="spellStart"/>
      <w:r w:rsidRPr="00EE5326">
        <w:rPr>
          <w:i/>
          <w:iCs/>
          <w:color w:val="000000"/>
        </w:rPr>
        <w:t>Dipylidium</w:t>
      </w:r>
      <w:proofErr w:type="spellEnd"/>
      <w:r w:rsidRPr="00EE5326">
        <w:rPr>
          <w:i/>
          <w:iCs/>
          <w:color w:val="000000"/>
        </w:rPr>
        <w:t xml:space="preserve"> </w:t>
      </w:r>
      <w:proofErr w:type="spellStart"/>
      <w:r w:rsidRPr="00EE5326">
        <w:rPr>
          <w:i/>
          <w:iCs/>
          <w:color w:val="000000"/>
        </w:rPr>
        <w:t>caninum</w:t>
      </w:r>
      <w:proofErr w:type="spellEnd"/>
      <w:r w:rsidRPr="00EE5326">
        <w:rPr>
          <w:i/>
          <w:iCs/>
          <w:color w:val="000000"/>
        </w:rPr>
        <w:t xml:space="preserve">, </w:t>
      </w:r>
      <w:proofErr w:type="spellStart"/>
      <w:r w:rsidRPr="00EE5326">
        <w:rPr>
          <w:i/>
          <w:iCs/>
          <w:color w:val="000000"/>
        </w:rPr>
        <w:t>Diphyllobothrium</w:t>
      </w:r>
      <w:proofErr w:type="spellEnd"/>
      <w:r w:rsidRPr="00EE5326">
        <w:rPr>
          <w:i/>
          <w:iCs/>
          <w:color w:val="000000"/>
        </w:rPr>
        <w:t xml:space="preserve"> </w:t>
      </w:r>
      <w:proofErr w:type="spellStart"/>
      <w:r w:rsidRPr="00EE5326">
        <w:rPr>
          <w:i/>
          <w:iCs/>
          <w:color w:val="000000"/>
        </w:rPr>
        <w:t>latum</w:t>
      </w:r>
      <w:proofErr w:type="spellEnd"/>
      <w:r w:rsidRPr="00EE5326">
        <w:rPr>
          <w:i/>
          <w:iCs/>
          <w:color w:val="000000"/>
        </w:rPr>
        <w:t>;</w:t>
      </w:r>
      <w:r w:rsidRPr="00EE5326">
        <w:rPr>
          <w:color w:val="000000"/>
        </w:rPr>
        <w:t xml:space="preserve">  </w:t>
      </w:r>
    </w:p>
    <w:p w14:paraId="7B7078E2" w14:textId="77777777" w:rsidR="00E3745D" w:rsidRDefault="00E3745D" w:rsidP="00FD1B78">
      <w:pPr>
        <w:pStyle w:val="cs80d9435b"/>
        <w:ind w:firstLine="567"/>
        <w:rPr>
          <w:color w:val="000000"/>
        </w:rPr>
      </w:pPr>
      <w:r w:rsidRPr="00EE5326">
        <w:rPr>
          <w:color w:val="000000"/>
        </w:rPr>
        <w:t>–</w:t>
      </w:r>
      <w:r>
        <w:rPr>
          <w:color w:val="000000"/>
        </w:rPr>
        <w:t xml:space="preserve"> </w:t>
      </w:r>
      <w:r w:rsidRPr="00EE5326">
        <w:rPr>
          <w:color w:val="000000"/>
        </w:rPr>
        <w:t xml:space="preserve">трематодами: </w:t>
      </w:r>
      <w:proofErr w:type="spellStart"/>
      <w:r w:rsidRPr="00EE5326">
        <w:rPr>
          <w:i/>
          <w:iCs/>
          <w:color w:val="000000"/>
        </w:rPr>
        <w:t>Opisthorchis</w:t>
      </w:r>
      <w:proofErr w:type="spellEnd"/>
      <w:r w:rsidRPr="00EE5326">
        <w:rPr>
          <w:i/>
          <w:iCs/>
          <w:color w:val="000000"/>
        </w:rPr>
        <w:t xml:space="preserve"> </w:t>
      </w:r>
      <w:proofErr w:type="spellStart"/>
      <w:r w:rsidRPr="00EE5326">
        <w:rPr>
          <w:i/>
          <w:iCs/>
          <w:color w:val="000000"/>
        </w:rPr>
        <w:t>felineus</w:t>
      </w:r>
      <w:proofErr w:type="spellEnd"/>
      <w:r w:rsidRPr="00EE5326">
        <w:rPr>
          <w:i/>
          <w:iCs/>
          <w:color w:val="000000"/>
        </w:rPr>
        <w:t>;</w:t>
      </w:r>
      <w:r w:rsidRPr="00EE5326">
        <w:rPr>
          <w:color w:val="000000"/>
        </w:rPr>
        <w:t xml:space="preserve"> </w:t>
      </w:r>
    </w:p>
    <w:p w14:paraId="24DA6359" w14:textId="77777777" w:rsidR="00E3745D" w:rsidRPr="002E0D73" w:rsidRDefault="00E3745D" w:rsidP="00FD1B78">
      <w:pPr>
        <w:pStyle w:val="cs80d9435b"/>
        <w:ind w:firstLine="567"/>
        <w:rPr>
          <w:i/>
          <w:iCs/>
          <w:color w:val="000000"/>
        </w:rPr>
      </w:pPr>
      <w:r w:rsidRPr="002E0D73">
        <w:rPr>
          <w:color w:val="000000"/>
        </w:rPr>
        <w:t xml:space="preserve">– </w:t>
      </w:r>
      <w:r w:rsidRPr="00EE5326">
        <w:rPr>
          <w:color w:val="000000"/>
        </w:rPr>
        <w:t xml:space="preserve">найпростішими </w:t>
      </w:r>
      <w:proofErr w:type="spellStart"/>
      <w:r w:rsidRPr="00117422">
        <w:rPr>
          <w:i/>
          <w:iCs/>
          <w:color w:val="000000"/>
        </w:rPr>
        <w:t>Giardia</w:t>
      </w:r>
      <w:proofErr w:type="spellEnd"/>
      <w:r w:rsidRPr="00117422">
        <w:rPr>
          <w:i/>
          <w:iCs/>
          <w:color w:val="000000"/>
        </w:rPr>
        <w:t xml:space="preserve"> </w:t>
      </w:r>
      <w:proofErr w:type="spellStart"/>
      <w:r w:rsidRPr="00117422">
        <w:rPr>
          <w:i/>
          <w:iCs/>
          <w:color w:val="000000"/>
        </w:rPr>
        <w:t>spp</w:t>
      </w:r>
      <w:proofErr w:type="spellEnd"/>
      <w:r w:rsidRPr="00117422">
        <w:rPr>
          <w:i/>
          <w:iCs/>
          <w:color w:val="000000"/>
        </w:rPr>
        <w:t>.</w:t>
      </w:r>
    </w:p>
    <w:p w14:paraId="47BFDC9E" w14:textId="777B642B" w:rsidR="00940B51" w:rsidRPr="00940B51" w:rsidRDefault="00E374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5.3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Протипоказання</w:t>
      </w:r>
      <w:bookmarkEnd w:id="8"/>
    </w:p>
    <w:p w14:paraId="67C55F34" w14:textId="77777777" w:rsidR="00B85BD3" w:rsidRPr="001305C3" w:rsidRDefault="00B85BD3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9" w:name="bookmark11"/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Не застосовувати хворим та ослабленим тваринам!</w:t>
      </w:r>
    </w:p>
    <w:p w14:paraId="19E24062" w14:textId="77777777" w:rsidR="00B85BD3" w:rsidRPr="001305C3" w:rsidRDefault="00B85BD3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Не застосовувати тваринам з підвищеною індивідуальною чутливістю до складників препарату!</w:t>
      </w:r>
    </w:p>
    <w:p w14:paraId="17CCB80F" w14:textId="77777777" w:rsidR="00B85BD3" w:rsidRDefault="00B85BD3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C61232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Не застосовувати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т</w:t>
      </w:r>
      <w:r w:rsidRPr="001305C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варинам з порушеннями функцій печінки, нирок та системи кровотворення препарат призначають із обережністю.</w:t>
      </w:r>
    </w:p>
    <w:p w14:paraId="23BDE3BA" w14:textId="77777777" w:rsidR="00B85BD3" w:rsidRPr="001305C3" w:rsidRDefault="00B85BD3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BF719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Не застосовувати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тваринам</w:t>
      </w:r>
      <w:r w:rsidRPr="00BF719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молодшим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4</w:t>
      </w:r>
      <w:r w:rsidRPr="00BF719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-тижневий вік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.</w:t>
      </w:r>
    </w:p>
    <w:p w14:paraId="46D62CF6" w14:textId="77777777" w:rsidR="00B85BD3" w:rsidRDefault="00B85BD3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D51ED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Не застосовувати тваринам під час вагітності і лактації.</w:t>
      </w:r>
    </w:p>
    <w:p w14:paraId="66BF25C3" w14:textId="1F1009E9" w:rsidR="00FD1B78" w:rsidRPr="00FD1B78" w:rsidRDefault="00FD1B78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</w:pPr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Не застосовувати препарат одночасно з </w:t>
      </w:r>
      <w:proofErr w:type="spellStart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дексаметазоном</w:t>
      </w:r>
      <w:proofErr w:type="spellEnd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</w:t>
      </w:r>
      <w:proofErr w:type="spellStart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празіквантелом</w:t>
      </w:r>
      <w:proofErr w:type="spellEnd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</w:t>
      </w:r>
      <w:proofErr w:type="spellStart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циметидином</w:t>
      </w:r>
      <w:proofErr w:type="spellEnd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!</w:t>
      </w:r>
    </w:p>
    <w:p w14:paraId="65082B9A" w14:textId="2D2A0DF5" w:rsidR="00940B51" w:rsidRPr="00940B51" w:rsidRDefault="00B85BD3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5.4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Побічна дія</w:t>
      </w:r>
      <w:bookmarkEnd w:id="9"/>
    </w:p>
    <w:p w14:paraId="057D8D2A" w14:textId="008E5E69" w:rsidR="00940B51" w:rsidRPr="00940B51" w:rsidRDefault="00940B51" w:rsidP="00FD1B7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У тварин, чутливих до </w:t>
      </w:r>
      <w:proofErr w:type="spellStart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бензімідазолів</w:t>
      </w:r>
      <w:proofErr w:type="spellEnd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після введення препарату можливі ускладнення: алергічні реакції (висипання на шкірі, свербіж, набряки), порушення </w:t>
      </w:r>
      <w:r w:rsidR="0026113B"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кровотворення</w:t>
      </w: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lastRenderedPageBreak/>
        <w:t>(</w:t>
      </w:r>
      <w:proofErr w:type="spellStart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нейтропенія</w:t>
      </w:r>
      <w:proofErr w:type="spellEnd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). </w:t>
      </w:r>
      <w:r w:rsidR="0026113B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За</w:t>
      </w: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виникненн</w:t>
      </w:r>
      <w:r w:rsidR="0026113B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я</w:t>
      </w: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ускладнень припиняють застосування препарату та призначають десенсибілізуючу терапію.</w:t>
      </w:r>
    </w:p>
    <w:p w14:paraId="3C9D3782" w14:textId="6277D5A4" w:rsidR="00940B51" w:rsidRPr="00940B51" w:rsidRDefault="0026113B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10" w:name="bookmark1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5.5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Особливі застереження при використанні</w:t>
      </w:r>
      <w:bookmarkEnd w:id="10"/>
    </w:p>
    <w:p w14:paraId="7667595B" w14:textId="77777777" w:rsidR="00940B51" w:rsidRPr="00940B51" w:rsidRDefault="00940B51" w:rsidP="00FD1B7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Немає.</w:t>
      </w:r>
    </w:p>
    <w:p w14:paraId="75DBDDCF" w14:textId="7AE1BD28" w:rsidR="00940B51" w:rsidRPr="00940B51" w:rsidRDefault="0026113B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11" w:name="bookmark1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5.6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Використання під час вагітності, лактації, несучості</w:t>
      </w:r>
      <w:bookmarkEnd w:id="11"/>
    </w:p>
    <w:p w14:paraId="3967B15D" w14:textId="77777777" w:rsidR="0026113B" w:rsidRDefault="0026113B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12" w:name="bookmark14"/>
      <w:r w:rsidRPr="0026113B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Не застосовувати тваринам під час вагітності і лактації.</w:t>
      </w:r>
    </w:p>
    <w:p w14:paraId="3FBEACE4" w14:textId="524197C1" w:rsidR="00940B51" w:rsidRPr="00940B51" w:rsidRDefault="0026113B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5.7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Взаємодія з іншими засобами та інші форми взаємодії</w:t>
      </w:r>
      <w:bookmarkEnd w:id="12"/>
    </w:p>
    <w:p w14:paraId="10FB88FD" w14:textId="7107F2A6" w:rsidR="00940B51" w:rsidRPr="00940B51" w:rsidRDefault="00940B51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Не застосовувати препарат одночасно з </w:t>
      </w:r>
      <w:proofErr w:type="spellStart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дексаметазоном</w:t>
      </w:r>
      <w:proofErr w:type="spellEnd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або </w:t>
      </w:r>
      <w:proofErr w:type="spellStart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празіквантелом</w:t>
      </w:r>
      <w:proofErr w:type="spellEnd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це підвищує рівень </w:t>
      </w:r>
      <w:proofErr w:type="spellStart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альбендазолу</w:t>
      </w:r>
      <w:proofErr w:type="spellEnd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в крові. </w:t>
      </w:r>
      <w:proofErr w:type="spellStart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Циметидин</w:t>
      </w:r>
      <w:proofErr w:type="spellEnd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підвищує вміст </w:t>
      </w:r>
      <w:proofErr w:type="spellStart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альбендазолу</w:t>
      </w:r>
      <w:proofErr w:type="spellEnd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в жовчі та сечі.</w:t>
      </w:r>
    </w:p>
    <w:p w14:paraId="1CC30371" w14:textId="273A5DA0" w:rsidR="00940B51" w:rsidRPr="00940B51" w:rsidRDefault="00B85BD3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13" w:name="bookmark1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5.8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Дози і способи введення тваринам різного віку</w:t>
      </w:r>
      <w:bookmarkEnd w:id="13"/>
    </w:p>
    <w:p w14:paraId="62FEB701" w14:textId="77777777" w:rsidR="00B85BD3" w:rsidRPr="00034A6D" w:rsidRDefault="00B85BD3" w:rsidP="00FD1B7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14" w:name="bookmark16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Препарат призначений для перорального застосування (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per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os</w:t>
      </w:r>
      <w:proofErr w:type="spellEnd"/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).</w:t>
      </w:r>
    </w:p>
    <w:p w14:paraId="60BF88EA" w14:textId="77777777" w:rsidR="00B85BD3" w:rsidRPr="00E0623A" w:rsidRDefault="00B85BD3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uk-UA" w:bidi="uk-UA"/>
        </w:rPr>
      </w:pPr>
      <w:r w:rsidRPr="00E0623A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Таблетки задають тваринам без попередньої голодної дієти, одноразово </w:t>
      </w:r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під час годування з невеликою кількістю корму або вводять примусово на корінь язика після годування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.</w:t>
      </w:r>
      <w:r w:rsidRPr="00E0623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uk-UA" w:bidi="uk-UA"/>
        </w:rPr>
        <w:t xml:space="preserve"> </w:t>
      </w:r>
    </w:p>
    <w:p w14:paraId="2EF453E6" w14:textId="77777777" w:rsidR="00B85BD3" w:rsidRPr="00034A6D" w:rsidRDefault="00B85BD3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uk-UA" w:bidi="uk-UA"/>
        </w:rPr>
      </w:pPr>
      <w:r w:rsidRPr="00034A6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Попередньої голодної дієти і застосування проносних засобів перед дегельмінтизацією не вимагається.</w:t>
      </w:r>
    </w:p>
    <w:p w14:paraId="6E435EB1" w14:textId="77777777" w:rsidR="00B85BD3" w:rsidRPr="000000DC" w:rsidRDefault="00B85BD3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000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Для дегельмінтизації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тварин р</w:t>
      </w:r>
      <w:r w:rsidRPr="002E0D7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екомендована доза – 1 таблетка на </w:t>
      </w:r>
      <w:r w:rsidRPr="00A47B6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2</w:t>
      </w:r>
      <w:r w:rsidRPr="002E0D7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0 кг маси тіла тварини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.</w:t>
      </w:r>
    </w:p>
    <w:p w14:paraId="189602C3" w14:textId="77777777" w:rsidR="003F5D6F" w:rsidRDefault="00B85BD3" w:rsidP="003F5D6F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За необхідності п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репарат застосовують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повтор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но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через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14 д</w:t>
      </w:r>
      <w:r w:rsidR="003F5D6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іб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залежно від інвазії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.</w:t>
      </w:r>
    </w:p>
    <w:p w14:paraId="44B3C4C1" w14:textId="4DF4B021" w:rsidR="00B85BD3" w:rsidRDefault="00B85BD3" w:rsidP="003F5D6F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2E0D7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Для здійснення профілактичних дегельмінтизацій препарат застосовують</w:t>
      </w:r>
      <w:r w:rsidR="00FD1B7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r w:rsidRPr="002E0D73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одноразово через кожні 3 місяці в тих самих дозах.</w:t>
      </w:r>
    </w:p>
    <w:p w14:paraId="3F8FE7E5" w14:textId="22E8E32B" w:rsidR="00B85BD3" w:rsidRPr="00A47B6F" w:rsidRDefault="00B85BD3" w:rsidP="00FD1B7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За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лямбліоз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у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(</w:t>
      </w:r>
      <w:proofErr w:type="spellStart"/>
      <w:r w:rsidRPr="00D60F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 w:bidi="uk-UA"/>
        </w:rPr>
        <w:t>Giardia</w:t>
      </w:r>
      <w:proofErr w:type="spellEnd"/>
      <w:r w:rsidRPr="00D60F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D60F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 w:bidi="uk-UA"/>
        </w:rPr>
        <w:t>spp</w:t>
      </w:r>
      <w:proofErr w:type="spellEnd"/>
      <w:r w:rsidRPr="00D60F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 w:bidi="uk-UA"/>
        </w:rPr>
        <w:t>.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м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оже використовуватися триваліший курс (кілька д</w:t>
      </w:r>
      <w:r w:rsidR="003F5D6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іб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поспіль) під наглядом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лікаря </w:t>
      </w:r>
      <w:r w:rsidRPr="00D60F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ветеринар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ної медицини.</w:t>
      </w:r>
    </w:p>
    <w:p w14:paraId="35940F77" w14:textId="19BFE4DC" w:rsidR="00940B51" w:rsidRPr="00940B51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5.9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Передозування (симптоми, невідкладні заходи, антидоти)</w:t>
      </w:r>
      <w:bookmarkEnd w:id="14"/>
    </w:p>
    <w:p w14:paraId="53B27701" w14:textId="5B5FA6BC" w:rsidR="00E26E14" w:rsidRPr="00FD1B78" w:rsidRDefault="00E26E14" w:rsidP="00FD1B7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Незначне одноразове  передозуванням не викликає ніяких ускладнень. У деяких випадках можливі алергічні ускладнення (висипання на шкірі, свербіж, набряки).</w:t>
      </w:r>
    </w:p>
    <w:p w14:paraId="342DBB02" w14:textId="56EDCD19" w:rsidR="00E26E14" w:rsidRDefault="00E26E14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15" w:name="bookmark17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У котів доза препарату 100 мг/кг маси тіла щоденно протягом 14</w:t>
      </w:r>
      <w:r w:rsid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– </w:t>
      </w:r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21 діб викликає втрату маси тіла, </w:t>
      </w:r>
      <w:proofErr w:type="spellStart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нейтропенію</w:t>
      </w:r>
      <w:proofErr w:type="spellEnd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та </w:t>
      </w:r>
      <w:proofErr w:type="spellStart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енцефалопатію</w:t>
      </w:r>
      <w:proofErr w:type="spellEnd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.</w:t>
      </w:r>
    </w:p>
    <w:p w14:paraId="109F4AF6" w14:textId="01D62BB3" w:rsidR="00940B51" w:rsidRPr="00940B51" w:rsidRDefault="00E26E14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 w:rsidRPr="00E26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5.10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Спеціальні застереження</w:t>
      </w:r>
      <w:bookmarkEnd w:id="15"/>
    </w:p>
    <w:p w14:paraId="4A0B78D6" w14:textId="77777777" w:rsidR="00940B51" w:rsidRPr="00940B51" w:rsidRDefault="00940B51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Немає.</w:t>
      </w:r>
    </w:p>
    <w:p w14:paraId="35278FCC" w14:textId="25C0590B" w:rsidR="00940B51" w:rsidRPr="00E26E14" w:rsidRDefault="00D3015D" w:rsidP="00FD1B78">
      <w:pPr>
        <w:pStyle w:val="a4"/>
        <w:keepNext/>
        <w:keepLines/>
        <w:widowControl w:val="0"/>
        <w:numPr>
          <w:ilvl w:val="1"/>
          <w:numId w:val="4"/>
        </w:numPr>
        <w:tabs>
          <w:tab w:val="left" w:pos="1282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16" w:name="bookmark1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 </w:t>
      </w:r>
      <w:r w:rsidR="00940B51" w:rsidRPr="00E26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Період виведення (</w:t>
      </w:r>
      <w:proofErr w:type="spellStart"/>
      <w:r w:rsidR="00940B51" w:rsidRPr="00E26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каренція</w:t>
      </w:r>
      <w:proofErr w:type="spellEnd"/>
      <w:r w:rsidR="00940B51" w:rsidRPr="00E26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)</w:t>
      </w:r>
      <w:bookmarkEnd w:id="16"/>
    </w:p>
    <w:p w14:paraId="49C447B8" w14:textId="5F24D356" w:rsidR="00940B51" w:rsidRPr="00940B51" w:rsidRDefault="00E26E14" w:rsidP="00FD1B78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Для непродуктивних тварин не регламентується</w:t>
      </w:r>
      <w:r w:rsid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.</w:t>
      </w:r>
    </w:p>
    <w:p w14:paraId="0A004A0B" w14:textId="5638ECFE" w:rsidR="00940B51" w:rsidRPr="00940B51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17" w:name="bookmark1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5.12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Спеціальні застереження для осіб і обслуговуючого персоналу</w:t>
      </w:r>
      <w:bookmarkEnd w:id="17"/>
    </w:p>
    <w:p w14:paraId="596FABFE" w14:textId="77777777" w:rsidR="00D3015D" w:rsidRPr="00D3015D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18" w:name="bookmark20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Персонал, який працює з препаратом, повинен дотримуватись основних правил особистої гігієни та правил роботи з ветеринарними препаратами.</w:t>
      </w:r>
    </w:p>
    <w:p w14:paraId="2C2609A3" w14:textId="77777777" w:rsidR="00D3015D" w:rsidRPr="00D3015D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Після роботи з препаратом необхідно вимити руки з милом.</w:t>
      </w:r>
    </w:p>
    <w:p w14:paraId="4481DA25" w14:textId="77777777" w:rsidR="00D3015D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За випадкового заковтування препарату людиною необхідно відразу звернутися до лікаря (при собі мати листівку-вкладку або етикетку препарату).</w:t>
      </w:r>
    </w:p>
    <w:p w14:paraId="5910CF7D" w14:textId="28E7179E" w:rsidR="00940B51" w:rsidRPr="00940B51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6.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Фармацевтичні особливості</w:t>
      </w:r>
      <w:bookmarkEnd w:id="18"/>
    </w:p>
    <w:p w14:paraId="74F4CBB1" w14:textId="7929E7B5" w:rsidR="00940B51" w:rsidRPr="00940B51" w:rsidRDefault="00E26E14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19" w:name="bookmark2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6.1</w:t>
      </w:r>
      <w:r w:rsidR="00D30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Форми несумісності (основні)</w:t>
      </w:r>
      <w:bookmarkEnd w:id="19"/>
    </w:p>
    <w:p w14:paraId="6E374AF8" w14:textId="77777777" w:rsidR="00940B51" w:rsidRPr="00D34CB2" w:rsidRDefault="00940B51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</w:pPr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Не застосовувати препарат одночасно з </w:t>
      </w:r>
      <w:proofErr w:type="spellStart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дексаметазоном</w:t>
      </w:r>
      <w:proofErr w:type="spellEnd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</w:t>
      </w:r>
      <w:proofErr w:type="spellStart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празіквантелом</w:t>
      </w:r>
      <w:proofErr w:type="spellEnd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</w:t>
      </w:r>
      <w:proofErr w:type="spellStart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циметидином</w:t>
      </w:r>
      <w:proofErr w:type="spellEnd"/>
      <w:r w:rsidRPr="00FD1B78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!</w:t>
      </w:r>
    </w:p>
    <w:p w14:paraId="5396402A" w14:textId="77777777" w:rsidR="003F5D6F" w:rsidRDefault="00E26E14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20" w:name="bookmark2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6.2</w:t>
      </w:r>
      <w:r w:rsidR="00D30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Термін придатності </w:t>
      </w:r>
      <w:bookmarkEnd w:id="20"/>
    </w:p>
    <w:p w14:paraId="5A440E18" w14:textId="462874E8" w:rsidR="00940B51" w:rsidRPr="00940B51" w:rsidRDefault="00940B51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21" w:name="_GoBack"/>
      <w:bookmarkEnd w:id="21"/>
      <w:r w:rsidRPr="00940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3 роки.</w:t>
      </w:r>
    </w:p>
    <w:p w14:paraId="7FDD8E40" w14:textId="6804E81B" w:rsidR="00940B51" w:rsidRPr="00940B51" w:rsidRDefault="00E26E14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bookmarkStart w:id="22" w:name="bookmark2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6.3</w:t>
      </w:r>
      <w:r w:rsidR="00D30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Особливі заходи зберігання</w:t>
      </w:r>
      <w:bookmarkEnd w:id="22"/>
    </w:p>
    <w:p w14:paraId="450BB7B3" w14:textId="77777777" w:rsidR="00D3015D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23" w:name="bookmark24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Сухе темне, недоступне для дітей та тварин, місце, окремо від продуктів харчування та кормів за температури від 5 до 25 °С.</w:t>
      </w:r>
    </w:p>
    <w:p w14:paraId="332EC7FE" w14:textId="13BC9779" w:rsidR="00940B51" w:rsidRPr="00940B51" w:rsidRDefault="00E26E14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6.4</w:t>
      </w:r>
      <w:r w:rsidR="00D30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Природа і склад контейнера первинного пакування</w:t>
      </w:r>
      <w:bookmarkEnd w:id="23"/>
    </w:p>
    <w:p w14:paraId="2E9FB722" w14:textId="77777777" w:rsidR="00D3015D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24" w:name="bookmark25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Таблетки запаковані у полімерні баночки, блістери, </w:t>
      </w:r>
      <w:proofErr w:type="spellStart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буфлени</w:t>
      </w:r>
      <w:proofErr w:type="spellEnd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, полімерні або </w:t>
      </w:r>
      <w:proofErr w:type="spellStart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фольговані</w:t>
      </w:r>
      <w:proofErr w:type="spellEnd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пакети по 1; 2; 3; 4; 8; 10; 50 та 100 штук. Блістери, </w:t>
      </w:r>
      <w:proofErr w:type="spellStart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буфлени</w:t>
      </w:r>
      <w:proofErr w:type="spellEnd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полімерні або </w:t>
      </w:r>
      <w:proofErr w:type="spellStart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фольговані</w:t>
      </w:r>
      <w:proofErr w:type="spellEnd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пакети упаковані в картонну коробку.</w:t>
      </w:r>
    </w:p>
    <w:p w14:paraId="3BD1F824" w14:textId="18206A6E" w:rsidR="00940B51" w:rsidRPr="00940B51" w:rsidRDefault="00E26E14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6.5</w:t>
      </w:r>
      <w:r w:rsidR="00D30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 </w:t>
      </w:r>
      <w:r w:rsidR="00940B51"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>Особливі заходи безпеки при поводженні з невикористаним препаратом або із його залишками</w:t>
      </w:r>
      <w:bookmarkEnd w:id="24"/>
    </w:p>
    <w:p w14:paraId="524F7355" w14:textId="77777777" w:rsidR="00D3015D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</w:pPr>
      <w:bookmarkStart w:id="25" w:name="bookmark26"/>
      <w:r w:rsidRPr="00D3015D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lastRenderedPageBreak/>
        <w:t>Після закінчення терміну придатності або після використання таблеток упаковку і блістери утилізують згідно правил утилізації загальних побутових відходів.</w:t>
      </w:r>
    </w:p>
    <w:p w14:paraId="0BA28383" w14:textId="0FEEE10C" w:rsidR="00D3015D" w:rsidRPr="00C61232" w:rsidRDefault="00940B51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</w:rPr>
      </w:pPr>
      <w:r w:rsidRPr="00940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 w:bidi="uk-UA"/>
        </w:rPr>
        <w:t xml:space="preserve">7.  </w:t>
      </w:r>
      <w:r w:rsidR="00D3015D" w:rsidRPr="00C6123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Назва та місцезнаходження в</w:t>
      </w:r>
      <w:r w:rsidR="00D3015D" w:rsidRPr="00C61232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</w:rPr>
        <w:t>ласника реєстраційного посвідчення</w:t>
      </w:r>
    </w:p>
    <w:p w14:paraId="42D5357A" w14:textId="17FE614E" w:rsidR="00940B51" w:rsidRPr="00D3015D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1305C3">
        <w:rPr>
          <w:rFonts w:ascii="Times New Roman" w:eastAsia="Times New Roman" w:hAnsi="Times New Roman" w:cs="Times New Roman"/>
          <w:sz w:val="24"/>
          <w:szCs w:val="24"/>
        </w:rPr>
        <w:t xml:space="preserve">НАУКОВО-ВИРОБНИЧА ПРИВАТНА ФІРМА «ІНТЕР», 61100, м. Харків, проспект Петра Григоренка, буд.12-Б, кв.17, </w:t>
      </w:r>
      <w:r>
        <w:rPr>
          <w:rFonts w:ascii="Times New Roman" w:eastAsia="Times New Roman" w:hAnsi="Times New Roman" w:cs="Times New Roman"/>
          <w:sz w:val="24"/>
          <w:szCs w:val="24"/>
        </w:rPr>
        <w:t>Україна.</w:t>
      </w:r>
      <w:r w:rsidRPr="00C6123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</w:t>
      </w:r>
      <w:bookmarkStart w:id="26" w:name="bookmark27"/>
      <w:bookmarkEnd w:id="25"/>
    </w:p>
    <w:p w14:paraId="7E46635B" w14:textId="685B418E" w:rsidR="00D3015D" w:rsidRPr="00C61232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</w:rPr>
      </w:pPr>
      <w:bookmarkStart w:id="27" w:name="_Hlk49765441"/>
      <w:bookmarkEnd w:id="26"/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8. </w:t>
      </w:r>
      <w:r w:rsidRPr="00C6123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Назва та місцезнаходження виробників</w:t>
      </w:r>
    </w:p>
    <w:p w14:paraId="6D5E82E1" w14:textId="77777777" w:rsidR="00D3015D" w:rsidRPr="001305C3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_Hlk76475419"/>
      <w:r w:rsidRPr="001305C3">
        <w:rPr>
          <w:rFonts w:ascii="Times New Roman" w:eastAsia="Times New Roman" w:hAnsi="Times New Roman" w:cs="Times New Roman"/>
          <w:sz w:val="24"/>
          <w:szCs w:val="24"/>
        </w:rPr>
        <w:t>ВИРОБНИЧИЙ КООПЕРАТИВ «КРУГ», 61070, м. Харків, вул. Помірки, буд.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5C3">
        <w:rPr>
          <w:rFonts w:ascii="Times New Roman" w:eastAsia="Times New Roman" w:hAnsi="Times New Roman" w:cs="Times New Roman"/>
          <w:sz w:val="24"/>
          <w:szCs w:val="24"/>
        </w:rPr>
        <w:t>84, Україна</w:t>
      </w:r>
    </w:p>
    <w:p w14:paraId="5DCFF66F" w14:textId="77777777" w:rsidR="00D3015D" w:rsidRPr="001305C3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 «НОВА ПЛЮС», 61030, м. Харків, вул. </w:t>
      </w:r>
      <w:proofErr w:type="spellStart"/>
      <w:r w:rsidRPr="001305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Колісниченківська</w:t>
      </w:r>
      <w:proofErr w:type="spellEnd"/>
      <w:r w:rsidRPr="00130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05C3">
        <w:rPr>
          <w:rFonts w:ascii="Times New Roman" w:eastAsia="Times New Roman" w:hAnsi="Times New Roman" w:cs="Times New Roman"/>
          <w:sz w:val="24"/>
          <w:szCs w:val="24"/>
          <w:lang w:eastAsia="ru-RU"/>
        </w:rPr>
        <w:t>7, Україна</w:t>
      </w:r>
    </w:p>
    <w:p w14:paraId="0E2DF48B" w14:textId="77777777" w:rsidR="00D3015D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«УКРБІОНІТ», 61109, м. Харків, вул. Тернопільська, буд. 6, Україна.</w:t>
      </w:r>
    </w:p>
    <w:p w14:paraId="79A49D61" w14:textId="4558E54B" w:rsidR="00574611" w:rsidRPr="00FD1B78" w:rsidRDefault="00D3015D" w:rsidP="00FD1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0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Додаткова інформація</w:t>
      </w:r>
      <w:bookmarkEnd w:id="28"/>
      <w:bookmarkEnd w:id="27"/>
    </w:p>
    <w:sectPr w:rsidR="00574611" w:rsidRPr="00FD1B78" w:rsidSect="00FD1B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41E23" w14:textId="77777777" w:rsidR="0026113B" w:rsidRDefault="0026113B" w:rsidP="0026113B">
      <w:pPr>
        <w:spacing w:after="0" w:line="240" w:lineRule="auto"/>
      </w:pPr>
      <w:r>
        <w:separator/>
      </w:r>
    </w:p>
  </w:endnote>
  <w:endnote w:type="continuationSeparator" w:id="0">
    <w:p w14:paraId="78B4E1F9" w14:textId="77777777" w:rsidR="0026113B" w:rsidRDefault="0026113B" w:rsidP="0026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82039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9099E61" w14:textId="738ECCC9" w:rsidR="0026113B" w:rsidRPr="0026113B" w:rsidRDefault="002611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11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11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11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5D6F" w:rsidRPr="003F5D6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611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E9BC22" w14:textId="77777777" w:rsidR="0026113B" w:rsidRDefault="0026113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E1BD3" w14:textId="73D0FE4B" w:rsidR="0026113B" w:rsidRPr="0026113B" w:rsidRDefault="0026113B" w:rsidP="0026113B">
    <w:pPr>
      <w:pStyle w:val="a7"/>
      <w:jc w:val="center"/>
      <w:rPr>
        <w:rFonts w:ascii="Times New Roman" w:hAnsi="Times New Roman" w:cs="Times New Roman"/>
        <w:sz w:val="24"/>
        <w:szCs w:val="24"/>
        <w:lang w:val="ru-RU"/>
      </w:rPr>
    </w:pPr>
    <w:r w:rsidRPr="0026113B">
      <w:rPr>
        <w:rFonts w:ascii="Times New Roman" w:hAnsi="Times New Roman" w:cs="Times New Roman"/>
        <w:sz w:val="24"/>
        <w:szCs w:val="24"/>
        <w:lang w:val="ru-RU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45D64" w14:textId="77777777" w:rsidR="0026113B" w:rsidRDefault="0026113B" w:rsidP="0026113B">
      <w:pPr>
        <w:spacing w:after="0" w:line="240" w:lineRule="auto"/>
      </w:pPr>
      <w:r>
        <w:separator/>
      </w:r>
    </w:p>
  </w:footnote>
  <w:footnote w:type="continuationSeparator" w:id="0">
    <w:p w14:paraId="780568FC" w14:textId="77777777" w:rsidR="0026113B" w:rsidRDefault="0026113B" w:rsidP="00261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36CD7" w14:textId="124616A9" w:rsidR="0026113B" w:rsidRPr="0026113B" w:rsidRDefault="0026113B" w:rsidP="0026113B">
    <w:pPr>
      <w:pStyle w:val="a5"/>
      <w:jc w:val="right"/>
      <w:rPr>
        <w:rFonts w:ascii="Times New Roman" w:hAnsi="Times New Roman" w:cs="Times New Roman"/>
        <w:sz w:val="24"/>
        <w:szCs w:val="24"/>
      </w:rPr>
    </w:pPr>
    <w:proofErr w:type="spellStart"/>
    <w:r>
      <w:rPr>
        <w:rFonts w:ascii="Times New Roman" w:hAnsi="Times New Roman" w:cs="Times New Roman"/>
        <w:sz w:val="24"/>
        <w:szCs w:val="24"/>
        <w:lang w:val="ru-RU"/>
      </w:rPr>
      <w:t>Продовження</w:t>
    </w:r>
    <w:proofErr w:type="spellEnd"/>
    <w:r>
      <w:rPr>
        <w:rFonts w:ascii="Times New Roman" w:hAnsi="Times New Roman" w:cs="Times New Roman"/>
        <w:sz w:val="24"/>
        <w:szCs w:val="24"/>
        <w:lang w:val="ru-RU"/>
      </w:rPr>
      <w:t xml:space="preserve"> </w:t>
    </w:r>
    <w:proofErr w:type="spellStart"/>
    <w:r>
      <w:rPr>
        <w:rFonts w:ascii="Times New Roman" w:hAnsi="Times New Roman" w:cs="Times New Roman"/>
        <w:sz w:val="24"/>
        <w:szCs w:val="24"/>
        <w:lang w:val="ru-RU"/>
      </w:rPr>
      <w:t>додатку</w:t>
    </w:r>
    <w:proofErr w:type="spellEnd"/>
    <w:r w:rsidRPr="0026113B">
      <w:rPr>
        <w:rFonts w:ascii="Times New Roman" w:hAnsi="Times New Roman" w:cs="Times New Roman"/>
        <w:sz w:val="24"/>
        <w:szCs w:val="24"/>
      </w:rPr>
      <w:t xml:space="preserve"> 1</w:t>
    </w:r>
  </w:p>
  <w:p w14:paraId="319E47F1" w14:textId="74E915D5" w:rsidR="0026113B" w:rsidRPr="0026113B" w:rsidRDefault="0026113B" w:rsidP="0026113B">
    <w:pPr>
      <w:pStyle w:val="a5"/>
      <w:jc w:val="right"/>
      <w:rPr>
        <w:rFonts w:ascii="Times New Roman" w:hAnsi="Times New Roman" w:cs="Times New Roman"/>
        <w:sz w:val="24"/>
        <w:szCs w:val="24"/>
        <w:lang w:val="ru-RU"/>
      </w:rPr>
    </w:pPr>
    <w:r w:rsidRPr="0026113B">
      <w:rPr>
        <w:rFonts w:ascii="Times New Roman" w:hAnsi="Times New Roman" w:cs="Times New Roman"/>
        <w:sz w:val="24"/>
        <w:szCs w:val="24"/>
      </w:rPr>
      <w:t xml:space="preserve">   до реєстраційного посвідчення АВ-02216-01-11</w:t>
    </w:r>
  </w:p>
  <w:p w14:paraId="2B23B1C8" w14:textId="77777777" w:rsidR="0026113B" w:rsidRDefault="0026113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BE99C" w14:textId="77777777" w:rsidR="0026113B" w:rsidRPr="0026113B" w:rsidRDefault="0026113B" w:rsidP="0026113B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26113B">
      <w:rPr>
        <w:rFonts w:ascii="Times New Roman" w:hAnsi="Times New Roman" w:cs="Times New Roman"/>
        <w:sz w:val="24"/>
        <w:szCs w:val="24"/>
      </w:rPr>
      <w:t>Додаток 1</w:t>
    </w:r>
  </w:p>
  <w:p w14:paraId="2A568C37" w14:textId="5C4DD70B" w:rsidR="0026113B" w:rsidRDefault="0026113B" w:rsidP="0026113B">
    <w:pPr>
      <w:pStyle w:val="a5"/>
      <w:jc w:val="right"/>
      <w:rPr>
        <w:rFonts w:ascii="Times New Roman" w:hAnsi="Times New Roman" w:cs="Times New Roman"/>
        <w:sz w:val="24"/>
        <w:szCs w:val="24"/>
        <w:lang w:val="ru-RU"/>
      </w:rPr>
    </w:pPr>
    <w:r w:rsidRPr="0026113B">
      <w:rPr>
        <w:rFonts w:ascii="Times New Roman" w:hAnsi="Times New Roman" w:cs="Times New Roman"/>
        <w:sz w:val="24"/>
        <w:szCs w:val="24"/>
      </w:rPr>
      <w:t xml:space="preserve">   до реєстраційного посвідчення АВ-02216-01-11</w:t>
    </w:r>
  </w:p>
  <w:p w14:paraId="54FFC90E" w14:textId="77777777" w:rsidR="0026113B" w:rsidRPr="0026113B" w:rsidRDefault="0026113B" w:rsidP="0026113B">
    <w:pPr>
      <w:pStyle w:val="a5"/>
      <w:jc w:val="right"/>
      <w:rPr>
        <w:rFonts w:ascii="Times New Roman" w:hAnsi="Times New Roman" w:cs="Times New Roman"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EB"/>
    <w:multiLevelType w:val="multilevel"/>
    <w:tmpl w:val="4F028E0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24712C36"/>
    <w:multiLevelType w:val="multilevel"/>
    <w:tmpl w:val="A212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4932B8"/>
    <w:multiLevelType w:val="multilevel"/>
    <w:tmpl w:val="DB168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1A2156"/>
    <w:multiLevelType w:val="multilevel"/>
    <w:tmpl w:val="514C5EA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4B6"/>
    <w:rsid w:val="0026113B"/>
    <w:rsid w:val="003634B6"/>
    <w:rsid w:val="003F5D6F"/>
    <w:rsid w:val="00574611"/>
    <w:rsid w:val="008A4408"/>
    <w:rsid w:val="008C5FA5"/>
    <w:rsid w:val="008E18A1"/>
    <w:rsid w:val="00940B51"/>
    <w:rsid w:val="00A6214B"/>
    <w:rsid w:val="00AB5570"/>
    <w:rsid w:val="00B85BD3"/>
    <w:rsid w:val="00D3015D"/>
    <w:rsid w:val="00D34CB2"/>
    <w:rsid w:val="00E26E14"/>
    <w:rsid w:val="00E3745D"/>
    <w:rsid w:val="00FD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8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C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0B5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uk-UA" w:bidi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40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6E14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D34C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s80d9435b">
    <w:name w:val="cs80d9435b"/>
    <w:basedOn w:val="a"/>
    <w:rsid w:val="00E374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26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113B"/>
  </w:style>
  <w:style w:type="paragraph" w:styleId="a7">
    <w:name w:val="footer"/>
    <w:basedOn w:val="a"/>
    <w:link w:val="a8"/>
    <w:uiPriority w:val="99"/>
    <w:unhideWhenUsed/>
    <w:rsid w:val="0026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1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C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0B5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uk-UA" w:bidi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40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6E14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D34C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s80d9435b">
    <w:name w:val="cs80d9435b"/>
    <w:basedOn w:val="a"/>
    <w:rsid w:val="00E374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26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113B"/>
  </w:style>
  <w:style w:type="paragraph" w:styleId="a7">
    <w:name w:val="footer"/>
    <w:basedOn w:val="a"/>
    <w:link w:val="a8"/>
    <w:uiPriority w:val="99"/>
    <w:unhideWhenUsed/>
    <w:rsid w:val="0026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1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3914</Words>
  <Characters>2232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админ3</cp:lastModifiedBy>
  <cp:revision>7</cp:revision>
  <cp:lastPrinted>2026-06-18T12:20:00Z</cp:lastPrinted>
  <dcterms:created xsi:type="dcterms:W3CDTF">2021-11-29T08:01:00Z</dcterms:created>
  <dcterms:modified xsi:type="dcterms:W3CDTF">2026-07-24T08:58:00Z</dcterms:modified>
</cp:coreProperties>
</file>