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tblpY="731"/>
        <w:tblOverlap w:val="never"/>
        <w:tblW w:w="0" w:type="auto"/>
        <w:tblLook w:val="04A0" w:firstRow="1" w:lastRow="0" w:firstColumn="1" w:lastColumn="0" w:noHBand="0" w:noVBand="1"/>
      </w:tblPr>
      <w:tblGrid>
        <w:gridCol w:w="3794"/>
        <w:gridCol w:w="6345"/>
      </w:tblGrid>
      <w:tr w:rsidR="00B37F35" w14:paraId="36E99B2C" w14:textId="77777777">
        <w:tc>
          <w:tcPr>
            <w:tcW w:w="3794" w:type="dxa"/>
          </w:tcPr>
          <w:p w14:paraId="6476E5C9" w14:textId="77777777" w:rsidR="00B37F35" w:rsidRPr="00185554" w:rsidRDefault="00B37F35" w:rsidP="00FC19B4">
            <w:pPr>
              <w:rPr>
                <w:sz w:val="24"/>
                <w:szCs w:val="24"/>
              </w:rPr>
            </w:pPr>
          </w:p>
        </w:tc>
        <w:tc>
          <w:tcPr>
            <w:tcW w:w="6345" w:type="dxa"/>
            <w:hideMark/>
          </w:tcPr>
          <w:p w14:paraId="405A4642" w14:textId="77777777" w:rsidR="00B37F35" w:rsidRPr="007B1722" w:rsidRDefault="00B37F35" w:rsidP="00FC19B4">
            <w:pPr>
              <w:pStyle w:val="3"/>
              <w:jc w:val="right"/>
              <w:rPr>
                <w:szCs w:val="24"/>
                <w:lang w:val="ru-RU" w:eastAsia="en-US"/>
              </w:rPr>
            </w:pPr>
            <w:r w:rsidRPr="00093069">
              <w:rPr>
                <w:szCs w:val="24"/>
                <w:lang w:val="uk-UA" w:eastAsia="en-US"/>
              </w:rPr>
              <w:t xml:space="preserve">Додаток </w:t>
            </w:r>
            <w:r w:rsidRPr="007B1722">
              <w:rPr>
                <w:szCs w:val="24"/>
                <w:lang w:val="ru-RU" w:eastAsia="en-US"/>
              </w:rPr>
              <w:t>1</w:t>
            </w:r>
          </w:p>
          <w:p w14:paraId="62461D94" w14:textId="5F3062FC" w:rsidR="00B37F35" w:rsidRDefault="00B37F35" w:rsidP="00FC19B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реєстраційного посвідчення AA-06866-01-17 </w:t>
            </w:r>
            <w:r w:rsidRPr="007B1722">
              <w:rPr>
                <w:sz w:val="24"/>
                <w:szCs w:val="24"/>
                <w:lang w:val="ru-RU"/>
              </w:rPr>
              <w:br/>
            </w:r>
          </w:p>
        </w:tc>
      </w:tr>
    </w:tbl>
    <w:p w14:paraId="0A66D829" w14:textId="77777777" w:rsidR="00B37F35" w:rsidRDefault="00B37F35" w:rsidP="00FC19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Коротка характеристика препарату</w:t>
      </w:r>
    </w:p>
    <w:p w14:paraId="267F5338" w14:textId="77777777" w:rsidR="00B37F35" w:rsidRDefault="00B37F35" w:rsidP="00FC19B4">
      <w:pPr>
        <w:rPr>
          <w:lang w:val="ru-RU"/>
        </w:rPr>
      </w:pPr>
    </w:p>
    <w:p w14:paraId="7DA85944" w14:textId="77777777" w:rsidR="00B37F35" w:rsidRDefault="00B37F35" w:rsidP="00FC19B4">
      <w:pPr>
        <w:tabs>
          <w:tab w:val="left" w:pos="567"/>
          <w:tab w:val="left" w:pos="2148"/>
        </w:tabs>
        <w:ind w:right="454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Назва</w:t>
      </w:r>
    </w:p>
    <w:p w14:paraId="3E75824F" w14:textId="77777777" w:rsidR="00B37F35" w:rsidRDefault="00B37F35" w:rsidP="00FC19B4">
      <w:pPr>
        <w:tabs>
          <w:tab w:val="left" w:pos="567"/>
          <w:tab w:val="left" w:pos="2148"/>
        </w:tabs>
        <w:ind w:right="45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НексГард СПЕКТРА</w:t>
      </w:r>
    </w:p>
    <w:p w14:paraId="3D14ED3C" w14:textId="77777777" w:rsidR="00B37F35" w:rsidRDefault="00B37F35" w:rsidP="00FC19B4">
      <w:pPr>
        <w:tabs>
          <w:tab w:val="left" w:pos="567"/>
        </w:tabs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2. Склад</w:t>
      </w:r>
    </w:p>
    <w:p w14:paraId="66DDFD26" w14:textId="77777777" w:rsidR="00B37F35" w:rsidRDefault="00B37F35" w:rsidP="00FC19B4">
      <w:pPr>
        <w:tabs>
          <w:tab w:val="left" w:pos="567"/>
        </w:tabs>
        <w:ind w:right="-36" w:firstLine="567"/>
        <w:jc w:val="both"/>
        <w:rPr>
          <w:rStyle w:val="cse602b7f21"/>
        </w:rPr>
      </w:pPr>
      <w:r>
        <w:rPr>
          <w:rStyle w:val="cs5efed22f1"/>
        </w:rPr>
        <w:t>1 г препарату містить діючі речовини:</w:t>
      </w:r>
    </w:p>
    <w:p w14:paraId="6D457949" w14:textId="77777777" w:rsidR="00B37F35" w:rsidRDefault="00B37F35" w:rsidP="00FC19B4">
      <w:pPr>
        <w:pStyle w:val="cse602b7f2"/>
        <w:ind w:left="0" w:right="-36" w:firstLine="567"/>
      </w:pPr>
      <w:r>
        <w:rPr>
          <w:rStyle w:val="cs5efed22f1"/>
        </w:rPr>
        <w:t>афоксоланер - 18,75 мг,</w:t>
      </w:r>
    </w:p>
    <w:p w14:paraId="1D4AE799" w14:textId="77777777" w:rsidR="00B37F35" w:rsidRDefault="00B37F35" w:rsidP="00FC19B4">
      <w:pPr>
        <w:pStyle w:val="cse602b7f2"/>
        <w:ind w:left="0" w:right="-36" w:firstLine="567"/>
      </w:pPr>
      <w:r>
        <w:rPr>
          <w:rStyle w:val="cs5efed22f1"/>
        </w:rPr>
        <w:t>мілбеміцину оксим - 3,75 мг.</w:t>
      </w:r>
    </w:p>
    <w:p w14:paraId="5DA398A5" w14:textId="085414BC" w:rsidR="00B37F35" w:rsidRDefault="00B37F35" w:rsidP="00FC19B4">
      <w:pPr>
        <w:pStyle w:val="cs7fb5c607"/>
        <w:ind w:right="-36" w:firstLine="567"/>
      </w:pPr>
      <w:r>
        <w:rPr>
          <w:rStyle w:val="cs5efed22f1"/>
        </w:rPr>
        <w:t xml:space="preserve">Допоміжні речовини: </w:t>
      </w:r>
      <w:r w:rsidR="005E3186">
        <w:rPr>
          <w:rStyle w:val="cs5efed22f1"/>
        </w:rPr>
        <w:t xml:space="preserve">крохмаль </w:t>
      </w:r>
      <w:r>
        <w:rPr>
          <w:rStyle w:val="cs5efed22f1"/>
        </w:rPr>
        <w:t xml:space="preserve">кукурудзяний, </w:t>
      </w:r>
      <w:r w:rsidR="005E3186">
        <w:rPr>
          <w:rStyle w:val="cs5efed22f1"/>
        </w:rPr>
        <w:t xml:space="preserve">протеїн </w:t>
      </w:r>
      <w:r>
        <w:rPr>
          <w:rStyle w:val="cs5efed22f1"/>
        </w:rPr>
        <w:t xml:space="preserve">соєвий, аромат яловичини, повідон К30, макрогол 400, </w:t>
      </w:r>
      <w:proofErr w:type="spellStart"/>
      <w:r>
        <w:rPr>
          <w:rStyle w:val="cs5efed22f1"/>
        </w:rPr>
        <w:t>макрогол</w:t>
      </w:r>
      <w:proofErr w:type="spellEnd"/>
      <w:r>
        <w:rPr>
          <w:rStyle w:val="cs5efed22f1"/>
        </w:rPr>
        <w:t xml:space="preserve"> 4000, </w:t>
      </w:r>
      <w:proofErr w:type="spellStart"/>
      <w:r>
        <w:rPr>
          <w:rStyle w:val="cs5efed22f1"/>
        </w:rPr>
        <w:t>гідроксистеарату</w:t>
      </w:r>
      <w:proofErr w:type="spellEnd"/>
      <w:r>
        <w:rPr>
          <w:rStyle w:val="cs5efed22f1"/>
        </w:rPr>
        <w:t xml:space="preserve"> </w:t>
      </w:r>
      <w:proofErr w:type="spellStart"/>
      <w:r>
        <w:rPr>
          <w:rStyle w:val="cs5efed22f1"/>
        </w:rPr>
        <w:t>поліоксил</w:t>
      </w:r>
      <w:proofErr w:type="spellEnd"/>
      <w:r>
        <w:rPr>
          <w:rStyle w:val="cs5efed22f1"/>
        </w:rPr>
        <w:t xml:space="preserve"> 15, </w:t>
      </w:r>
      <w:proofErr w:type="spellStart"/>
      <w:r>
        <w:rPr>
          <w:rStyle w:val="cs5efed22f1"/>
        </w:rPr>
        <w:t>гліцерол</w:t>
      </w:r>
      <w:proofErr w:type="spellEnd"/>
      <w:r>
        <w:rPr>
          <w:rStyle w:val="cs5efed22f1"/>
        </w:rPr>
        <w:t xml:space="preserve">, </w:t>
      </w:r>
      <w:proofErr w:type="spellStart"/>
      <w:r>
        <w:rPr>
          <w:rStyle w:val="cs5efed22f1"/>
        </w:rPr>
        <w:t>тригліцериди</w:t>
      </w:r>
      <w:proofErr w:type="spellEnd"/>
      <w:r>
        <w:rPr>
          <w:rStyle w:val="cs5efed22f1"/>
        </w:rPr>
        <w:t xml:space="preserve">, </w:t>
      </w:r>
      <w:r w:rsidR="005E3186">
        <w:rPr>
          <w:rStyle w:val="cs5efed22f1"/>
        </w:rPr>
        <w:t xml:space="preserve">кислоти </w:t>
      </w:r>
      <w:r>
        <w:rPr>
          <w:rStyle w:val="cs5efed22f1"/>
        </w:rPr>
        <w:t>лимонної</w:t>
      </w:r>
      <w:r w:rsidR="00D7461B">
        <w:rPr>
          <w:rStyle w:val="cs5efed22f1"/>
        </w:rPr>
        <w:t xml:space="preserve"> </w:t>
      </w:r>
      <w:r w:rsidR="005E3186">
        <w:rPr>
          <w:rStyle w:val="cs5efed22f1"/>
        </w:rPr>
        <w:t xml:space="preserve">моногідрат </w:t>
      </w:r>
      <w:r>
        <w:rPr>
          <w:rStyle w:val="cs5efed22f1"/>
        </w:rPr>
        <w:t xml:space="preserve">, </w:t>
      </w:r>
      <w:proofErr w:type="spellStart"/>
      <w:r>
        <w:rPr>
          <w:rStyle w:val="cs5efed22f1"/>
        </w:rPr>
        <w:t>бутилгідрокситолуен</w:t>
      </w:r>
      <w:proofErr w:type="spellEnd"/>
      <w:r>
        <w:rPr>
          <w:rStyle w:val="cs5efed22f1"/>
        </w:rPr>
        <w:t>.</w:t>
      </w:r>
    </w:p>
    <w:p w14:paraId="6823D764" w14:textId="77777777" w:rsidR="00B37F35" w:rsidRDefault="00B37F35" w:rsidP="00FC19B4">
      <w:pPr>
        <w:tabs>
          <w:tab w:val="left" w:pos="567"/>
        </w:tabs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3. Фармацевтична форма</w:t>
      </w:r>
    </w:p>
    <w:p w14:paraId="6EAB5B76" w14:textId="77777777" w:rsidR="005E3186" w:rsidRPr="002F5894" w:rsidRDefault="00185554" w:rsidP="00FC19B4">
      <w:pPr>
        <w:tabs>
          <w:tab w:val="left" w:pos="567"/>
        </w:tabs>
        <w:ind w:right="454" w:firstLine="567"/>
        <w:jc w:val="both"/>
        <w:rPr>
          <w:snapToGrid w:val="0"/>
          <w:sz w:val="24"/>
          <w:szCs w:val="24"/>
          <w:lang w:val="ru-RU"/>
        </w:rPr>
      </w:pPr>
      <w:r w:rsidRPr="00185554">
        <w:rPr>
          <w:snapToGrid w:val="0"/>
          <w:sz w:val="24"/>
          <w:szCs w:val="24"/>
        </w:rPr>
        <w:t>Жувальні таблетки.</w:t>
      </w:r>
    </w:p>
    <w:p w14:paraId="3E3C51F5" w14:textId="0FA6021A" w:rsidR="00B37F35" w:rsidRDefault="00B37F35" w:rsidP="00FC19B4">
      <w:pPr>
        <w:tabs>
          <w:tab w:val="left" w:pos="567"/>
        </w:tabs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4. Фармакологічні властивості</w:t>
      </w:r>
    </w:p>
    <w:p w14:paraId="2B2105F0" w14:textId="406C9137" w:rsidR="00B37F35" w:rsidRDefault="00B37F35" w:rsidP="00FC19B4">
      <w:pPr>
        <w:tabs>
          <w:tab w:val="left" w:pos="567"/>
        </w:tabs>
        <w:ind w:right="414" w:firstLine="560"/>
        <w:jc w:val="both"/>
        <w:rPr>
          <w:rStyle w:val="csd3498dab1"/>
        </w:rPr>
      </w:pPr>
      <w:proofErr w:type="spellStart"/>
      <w:r>
        <w:rPr>
          <w:rStyle w:val="cs8f3868831"/>
          <w:snapToGrid w:val="0"/>
        </w:rPr>
        <w:t>ATCvet</w:t>
      </w:r>
      <w:proofErr w:type="spellEnd"/>
      <w:r>
        <w:rPr>
          <w:rStyle w:val="cs8f3868831"/>
          <w:snapToGrid w:val="0"/>
        </w:rPr>
        <w:t xml:space="preserve"> QP54, </w:t>
      </w:r>
      <w:proofErr w:type="spellStart"/>
      <w:r>
        <w:rPr>
          <w:rStyle w:val="cs8f3868831"/>
          <w:snapToGrid w:val="0"/>
        </w:rPr>
        <w:t>ендектоциди</w:t>
      </w:r>
      <w:proofErr w:type="spellEnd"/>
      <w:r>
        <w:rPr>
          <w:rStyle w:val="cs8f3868831"/>
          <w:snapToGrid w:val="0"/>
        </w:rPr>
        <w:t xml:space="preserve"> (QP54АВ, </w:t>
      </w:r>
      <w:proofErr w:type="spellStart"/>
      <w:r>
        <w:rPr>
          <w:rStyle w:val="cs8f3868831"/>
          <w:snapToGrid w:val="0"/>
        </w:rPr>
        <w:t>мілбеміцини</w:t>
      </w:r>
      <w:proofErr w:type="spellEnd"/>
      <w:r w:rsidR="00E006D5">
        <w:rPr>
          <w:rStyle w:val="cs8f3868831"/>
          <w:snapToGrid w:val="0"/>
        </w:rPr>
        <w:t xml:space="preserve">; </w:t>
      </w:r>
      <w:r w:rsidR="00E006D5" w:rsidRPr="00E006D5">
        <w:rPr>
          <w:b/>
          <w:bCs/>
          <w:i/>
          <w:iCs/>
          <w:snapToGrid w:val="0"/>
          <w:color w:val="000000"/>
          <w:sz w:val="24"/>
          <w:szCs w:val="24"/>
        </w:rPr>
        <w:t>QP54АВ</w:t>
      </w:r>
      <w:r w:rsidR="00E006D5">
        <w:rPr>
          <w:b/>
          <w:bCs/>
          <w:i/>
          <w:iCs/>
          <w:snapToGrid w:val="0"/>
          <w:color w:val="000000"/>
          <w:sz w:val="24"/>
          <w:szCs w:val="24"/>
        </w:rPr>
        <w:t xml:space="preserve">51, </w:t>
      </w:r>
      <w:proofErr w:type="spellStart"/>
      <w:r w:rsidR="00E006D5">
        <w:rPr>
          <w:b/>
          <w:bCs/>
          <w:i/>
          <w:iCs/>
          <w:snapToGrid w:val="0"/>
          <w:color w:val="000000"/>
          <w:sz w:val="24"/>
          <w:szCs w:val="24"/>
        </w:rPr>
        <w:t>мілбеміцину</w:t>
      </w:r>
      <w:proofErr w:type="spellEnd"/>
      <w:r w:rsidR="00E006D5">
        <w:rPr>
          <w:b/>
          <w:bCs/>
          <w:i/>
          <w:iCs/>
          <w:snapToGrid w:val="0"/>
          <w:color w:val="000000"/>
          <w:sz w:val="24"/>
          <w:szCs w:val="24"/>
        </w:rPr>
        <w:t xml:space="preserve"> </w:t>
      </w:r>
      <w:proofErr w:type="spellStart"/>
      <w:r w:rsidR="00E006D5">
        <w:rPr>
          <w:b/>
          <w:bCs/>
          <w:i/>
          <w:iCs/>
          <w:snapToGrid w:val="0"/>
          <w:color w:val="000000"/>
          <w:sz w:val="24"/>
          <w:szCs w:val="24"/>
        </w:rPr>
        <w:t>оксим</w:t>
      </w:r>
      <w:proofErr w:type="spellEnd"/>
      <w:r w:rsidR="00E006D5">
        <w:rPr>
          <w:b/>
          <w:bCs/>
          <w:i/>
          <w:iCs/>
          <w:snapToGrid w:val="0"/>
          <w:color w:val="000000"/>
          <w:sz w:val="24"/>
          <w:szCs w:val="24"/>
        </w:rPr>
        <w:t>, комбінації</w:t>
      </w:r>
      <w:r>
        <w:rPr>
          <w:rStyle w:val="cs8f3868831"/>
          <w:snapToGrid w:val="0"/>
        </w:rPr>
        <w:t>)</w:t>
      </w:r>
      <w:r w:rsidR="00E006D5">
        <w:rPr>
          <w:rStyle w:val="cs8f3868831"/>
          <w:snapToGrid w:val="0"/>
        </w:rPr>
        <w:t>.</w:t>
      </w:r>
    </w:p>
    <w:p w14:paraId="2CED8B2D" w14:textId="1951D282" w:rsidR="00B37F35" w:rsidRDefault="00B37F35" w:rsidP="00FC19B4">
      <w:pPr>
        <w:pStyle w:val="csd3498dab"/>
        <w:spacing w:before="0"/>
        <w:ind w:right="-80"/>
      </w:pPr>
      <w:r>
        <w:rPr>
          <w:rStyle w:val="cse3a9a65a1"/>
          <w:snapToGrid w:val="0"/>
        </w:rPr>
        <w:t xml:space="preserve">НексГард </w:t>
      </w:r>
      <w:r w:rsidR="003B3AB4">
        <w:rPr>
          <w:rStyle w:val="cse3a9a65a1"/>
          <w:snapToGrid w:val="0"/>
        </w:rPr>
        <w:t>СПЕКТРА</w:t>
      </w:r>
      <w:r>
        <w:rPr>
          <w:rStyle w:val="cse3a9a65a1"/>
          <w:snapToGrid w:val="0"/>
        </w:rPr>
        <w:t xml:space="preserve"> - комбінований протипаразитний препарат. Діючі речовини, які входять до складу препарату (афоксоланер, мілбеміцину оксим), забезпечують його широкий спектр протипаразитарної дії до ектопаразитів і нематод, які паразитують у собак. </w:t>
      </w:r>
    </w:p>
    <w:p w14:paraId="3000FFA9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e3a9a65a1"/>
          <w:snapToGrid w:val="0"/>
        </w:rPr>
        <w:t>Фармакодинаміка</w:t>
      </w:r>
    </w:p>
    <w:p w14:paraId="315CC6B8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 xml:space="preserve">Афоксоланер - інсектоакарицид групи ізоксазоліну, механізм його дії полягає у блокуванні ГАМК-залежних рецепторів членистоногих, перезбудженні нейронів, порушенні передачі нервових імпульсів, що призводить до паралічу і загибелі ектопаразитів. </w:t>
      </w:r>
    </w:p>
    <w:p w14:paraId="4F404FE4" w14:textId="302FF439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 xml:space="preserve">Він є активний проти дорослих бліх </w:t>
      </w:r>
      <w:r>
        <w:rPr>
          <w:rStyle w:val="csa62dfd6a1"/>
          <w:snapToGrid w:val="0"/>
        </w:rPr>
        <w:t>(Ctenocephalides</w:t>
      </w:r>
      <w:r>
        <w:rPr>
          <w:rStyle w:val="cs5efed22f2"/>
          <w:snapToGrid w:val="0"/>
        </w:rPr>
        <w:t xml:space="preserve"> </w:t>
      </w:r>
      <w:r>
        <w:rPr>
          <w:rStyle w:val="csa62dfd6a1"/>
          <w:snapToGrid w:val="0"/>
        </w:rPr>
        <w:t xml:space="preserve">felis </w:t>
      </w:r>
      <w:r>
        <w:rPr>
          <w:rStyle w:val="cs5efed22f2"/>
          <w:snapToGrid w:val="0"/>
        </w:rPr>
        <w:t xml:space="preserve">та </w:t>
      </w:r>
      <w:r>
        <w:rPr>
          <w:rStyle w:val="csa62dfd6a1"/>
          <w:snapToGrid w:val="0"/>
        </w:rPr>
        <w:t>Ctenocephalides canis),</w:t>
      </w:r>
      <w:r>
        <w:rPr>
          <w:rStyle w:val="cs5efed22f2"/>
          <w:snapToGrid w:val="0"/>
        </w:rPr>
        <w:t xml:space="preserve"> проти деяких видів кліщів, таких як </w:t>
      </w:r>
      <w:r>
        <w:rPr>
          <w:rStyle w:val="csa62dfd6a1"/>
          <w:snapToGrid w:val="0"/>
        </w:rPr>
        <w:t xml:space="preserve">Rhipicephalus sanguineus, Dermacentor reticulatus </w:t>
      </w:r>
      <w:r>
        <w:rPr>
          <w:rStyle w:val="cs5efed22f2"/>
          <w:snapToGrid w:val="0"/>
        </w:rPr>
        <w:t xml:space="preserve">і </w:t>
      </w:r>
      <w:r>
        <w:rPr>
          <w:rStyle w:val="csa62dfd6a1"/>
          <w:snapToGrid w:val="0"/>
        </w:rPr>
        <w:t>D. variabilis, Ixodes ricinus</w:t>
      </w:r>
      <w:r w:rsidR="003C1C26">
        <w:rPr>
          <w:rStyle w:val="csa62dfd6a1"/>
          <w:snapToGrid w:val="0"/>
        </w:rPr>
        <w:t xml:space="preserve">, </w:t>
      </w:r>
      <w:r w:rsidR="003C1C26" w:rsidRPr="003C1C26">
        <w:rPr>
          <w:rStyle w:val="csa62dfd6a1"/>
          <w:snapToGrid w:val="0"/>
        </w:rPr>
        <w:t>Ixodes hexagonus та</w:t>
      </w:r>
      <w:r>
        <w:rPr>
          <w:rStyle w:val="csa62dfd6a1"/>
          <w:snapToGrid w:val="0"/>
        </w:rPr>
        <w:t xml:space="preserve"> Ixodes scapularis, Amblyomma americanum</w:t>
      </w:r>
      <w:r w:rsidR="003C1C26">
        <w:rPr>
          <w:rStyle w:val="cs5efed22f2"/>
          <w:snapToGrid w:val="0"/>
        </w:rPr>
        <w:t>,</w:t>
      </w:r>
      <w:r>
        <w:rPr>
          <w:rStyle w:val="csa62dfd6a1"/>
          <w:snapToGrid w:val="0"/>
        </w:rPr>
        <w:t xml:space="preserve"> Haemaphysalis longicornis</w:t>
      </w:r>
      <w:r w:rsidR="003C1C26">
        <w:rPr>
          <w:rStyle w:val="csa62dfd6a1"/>
          <w:snapToGrid w:val="0"/>
        </w:rPr>
        <w:t xml:space="preserve"> та </w:t>
      </w:r>
      <w:r w:rsidR="003C1C26" w:rsidRPr="003C1C26">
        <w:rPr>
          <w:rStyle w:val="csa62dfd6a1"/>
          <w:snapToGrid w:val="0"/>
        </w:rPr>
        <w:t>Hyalomma marginatum</w:t>
      </w:r>
      <w:r>
        <w:rPr>
          <w:rStyle w:val="cs40acda581"/>
          <w:snapToGrid w:val="0"/>
        </w:rPr>
        <w:t xml:space="preserve">. </w:t>
      </w:r>
    </w:p>
    <w:p w14:paraId="7145CFDE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>Афоксоланер знищує бліх перед відкладенням яєць і тим самим попереджає ризик контамінації місць перебування тварини. Він може бути використаний як частина профілактики алергічного дерматиту (FAD).</w:t>
      </w:r>
    </w:p>
    <w:p w14:paraId="1E446306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>Мілбеміцину оксим є протипаразитарним ендектоцидом і належить до групи макроциклічних лактонів. Мілбеміцину оксим містить два головні фактори, А3 і А4 (у відношенні 20:80). Він є продуктом ферментації  </w:t>
      </w:r>
      <w:r>
        <w:rPr>
          <w:rStyle w:val="csa62dfd6a1"/>
          <w:snapToGrid w:val="0"/>
        </w:rPr>
        <w:t>Streptomyces milbemycinicus.</w:t>
      </w:r>
      <w:r>
        <w:rPr>
          <w:rStyle w:val="cs5efed22f2"/>
          <w:snapToGrid w:val="0"/>
        </w:rPr>
        <w:t xml:space="preserve"> Мілбеміцину оксим порушує нейро-передачу глутамату у безхребетних. Мілбеміцину оксим підвищує проникність клітинних мембран для іонів хлору всередині клітини. Це призводить до гіперполяризації нейромускулярних мембран, паралічу і загибелі паразитів.</w:t>
      </w:r>
    </w:p>
    <w:p w14:paraId="40979BE5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>Фармакокінетика</w:t>
      </w:r>
    </w:p>
    <w:p w14:paraId="13447B4F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>Афоксоланер має високу соматичну абсорбцію (всмоктування). Абсолютна біодоступність складає 88</w:t>
      </w:r>
      <w:r w:rsidR="00925D26">
        <w:rPr>
          <w:rStyle w:val="cs5efed22f2"/>
          <w:snapToGrid w:val="0"/>
          <w:lang w:val="en-US"/>
        </w:rPr>
        <w:t> </w:t>
      </w:r>
      <w:r>
        <w:rPr>
          <w:rStyle w:val="cs5efed22f2"/>
          <w:snapToGrid w:val="0"/>
        </w:rPr>
        <w:t>%. Середня максимальна концентрація (C</w:t>
      </w:r>
      <w:r>
        <w:rPr>
          <w:rStyle w:val="cs36e2aa4c1"/>
          <w:snapToGrid w:val="0"/>
          <w:vertAlign w:val="subscript"/>
        </w:rPr>
        <w:t xml:space="preserve">max </w:t>
      </w:r>
      <w:r>
        <w:rPr>
          <w:rStyle w:val="cs5efed22f2"/>
          <w:snapToGrid w:val="0"/>
        </w:rPr>
        <w:t>) складає 1822±165 нг/мл у плазмі крові через 2-4 години (T</w:t>
      </w:r>
      <w:r>
        <w:rPr>
          <w:rStyle w:val="cs36e2aa4c1"/>
          <w:snapToGrid w:val="0"/>
          <w:vertAlign w:val="subscript"/>
        </w:rPr>
        <w:t>max</w:t>
      </w:r>
      <w:r>
        <w:rPr>
          <w:rStyle w:val="cs5efed22f2"/>
          <w:snapToGrid w:val="0"/>
        </w:rPr>
        <w:t>) після введення афоксоланера у дозі 2,5 мг/кг м.т.</w:t>
      </w:r>
    </w:p>
    <w:p w14:paraId="453B3461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>Афоксоланер після перорального введення легко всмоктується у травному каналі і поширюється по тканинах з рівнем поширення 2,6±0.6 л/кг і системним рівнем очищення 5,0±1,2</w:t>
      </w:r>
      <w:r w:rsidR="00553C3B">
        <w:rPr>
          <w:rStyle w:val="cs5efed22f2"/>
          <w:snapToGrid w:val="0"/>
          <w:lang w:val="en-US"/>
        </w:rPr>
        <w:t> </w:t>
      </w:r>
      <w:r>
        <w:rPr>
          <w:rStyle w:val="cs5efed22f2"/>
          <w:snapToGrid w:val="0"/>
        </w:rPr>
        <w:t>мл/г/кг. Період напіввиведення складає приблизно 2 тижні у собак.</w:t>
      </w:r>
    </w:p>
    <w:p w14:paraId="0B554D4D" w14:textId="77777777" w:rsidR="00B37F35" w:rsidRDefault="00B37F35" w:rsidP="00FC19B4">
      <w:pPr>
        <w:pStyle w:val="csd3498dab"/>
        <w:spacing w:before="0"/>
        <w:ind w:right="-80"/>
        <w:rPr>
          <w:snapToGrid w:val="0"/>
        </w:rPr>
      </w:pPr>
      <w:r>
        <w:rPr>
          <w:rStyle w:val="cs5efed22f2"/>
          <w:snapToGrid w:val="0"/>
        </w:rPr>
        <w:t>Пік максимальної концентрації мілбеміцину оксим у плазмі крові собак досягається у перші 1-2 години (T</w:t>
      </w:r>
      <w:r>
        <w:rPr>
          <w:rStyle w:val="cs36e2aa4c1"/>
          <w:snapToGrid w:val="0"/>
          <w:vertAlign w:val="subscript"/>
        </w:rPr>
        <w:t>max</w:t>
      </w:r>
      <w:r>
        <w:rPr>
          <w:rStyle w:val="cs5efed22f2"/>
          <w:snapToGrid w:val="0"/>
        </w:rPr>
        <w:t>). Абсолютна біодоступність складає 81</w:t>
      </w:r>
      <w:r w:rsidR="00262A20">
        <w:rPr>
          <w:rStyle w:val="cs5efed22f2"/>
          <w:snapToGrid w:val="0"/>
          <w:lang w:val="en-US"/>
        </w:rPr>
        <w:t> </w:t>
      </w:r>
      <w:r>
        <w:rPr>
          <w:rStyle w:val="cs5efed22f2"/>
          <w:snapToGrid w:val="0"/>
        </w:rPr>
        <w:t>% і 65</w:t>
      </w:r>
      <w:r w:rsidR="00262A20">
        <w:rPr>
          <w:rStyle w:val="cs5efed22f2"/>
          <w:snapToGrid w:val="0"/>
          <w:lang w:val="en-US"/>
        </w:rPr>
        <w:t> </w:t>
      </w:r>
      <w:r>
        <w:rPr>
          <w:rStyle w:val="cs5efed22f2"/>
          <w:snapToGrid w:val="0"/>
        </w:rPr>
        <w:t>% для факторів А3 і А4 відповідно. Період напіввиведення і максимальна концентрація  (C</w:t>
      </w:r>
      <w:r>
        <w:rPr>
          <w:rStyle w:val="cs36e2aa4c1"/>
          <w:snapToGrid w:val="0"/>
          <w:vertAlign w:val="subscript"/>
        </w:rPr>
        <w:t xml:space="preserve">max </w:t>
      </w:r>
      <w:r>
        <w:rPr>
          <w:rStyle w:val="cs5efed22f2"/>
          <w:snapToGrid w:val="0"/>
        </w:rPr>
        <w:t>) після перорального застосування складає 1,6±0,4 доби і 42±11 нг/мл для А3 та 3,3±1,4 доби та 246±71 нг/мл для А4.</w:t>
      </w:r>
    </w:p>
    <w:p w14:paraId="62833134" w14:textId="77777777" w:rsidR="00B37F35" w:rsidRDefault="00B37F35" w:rsidP="00FC19B4">
      <w:pPr>
        <w:pStyle w:val="csd3498dab"/>
        <w:spacing w:before="0"/>
        <w:rPr>
          <w:snapToGrid w:val="0"/>
        </w:rPr>
      </w:pPr>
      <w:r>
        <w:rPr>
          <w:rStyle w:val="cs5efed22f2"/>
          <w:snapToGrid w:val="0"/>
        </w:rPr>
        <w:t>Мілбеміцину оксим після перорального введення легко всмоктується у травному каналі і поширюється по тканинах з рівнем поширення 2,7±0,4 і 2,6±0,6 л/кг для А3 і А4 відповідно. Обидві форми мають низький системний рівень очищення (75±22 мл/г/кг для А3 і 41±12 мл/г/кг для А4).</w:t>
      </w:r>
    </w:p>
    <w:p w14:paraId="5E037480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5. Клінічні особливості</w:t>
      </w:r>
    </w:p>
    <w:p w14:paraId="34E63FFB" w14:textId="77777777" w:rsidR="0022635E" w:rsidRDefault="0022635E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  <w:lang w:val="en-US"/>
        </w:rPr>
      </w:pPr>
    </w:p>
    <w:p w14:paraId="45993FD2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bookmarkStart w:id="0" w:name="_GoBack"/>
      <w:bookmarkEnd w:id="0"/>
      <w:r>
        <w:rPr>
          <w:b/>
          <w:snapToGrid w:val="0"/>
          <w:sz w:val="24"/>
          <w:szCs w:val="24"/>
        </w:rPr>
        <w:lastRenderedPageBreak/>
        <w:t>5.1 Вид тварин</w:t>
      </w:r>
    </w:p>
    <w:p w14:paraId="233235A8" w14:textId="77777777" w:rsidR="00B37F35" w:rsidRDefault="00B37F35" w:rsidP="00FC19B4">
      <w:pPr>
        <w:widowControl w:val="0"/>
        <w:ind w:right="454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Собаки</w:t>
      </w:r>
    </w:p>
    <w:p w14:paraId="584123C1" w14:textId="77777777" w:rsidR="00B37F35" w:rsidRDefault="00B37F35" w:rsidP="00FC19B4">
      <w:pPr>
        <w:pStyle w:val="31"/>
        <w:ind w:right="454" w:firstLine="567"/>
        <w:rPr>
          <w:b/>
          <w:snapToGrid/>
          <w:sz w:val="24"/>
          <w:szCs w:val="24"/>
        </w:rPr>
      </w:pPr>
      <w:r>
        <w:rPr>
          <w:b/>
          <w:sz w:val="24"/>
          <w:szCs w:val="24"/>
        </w:rPr>
        <w:t>5.2 Показання до застосування</w:t>
      </w:r>
    </w:p>
    <w:p w14:paraId="56058605" w14:textId="359211BE" w:rsidR="00B37F35" w:rsidRDefault="00B37F35" w:rsidP="00FC19B4">
      <w:pPr>
        <w:pStyle w:val="31"/>
        <w:ind w:right="-36" w:firstLine="560"/>
        <w:rPr>
          <w:rStyle w:val="cs3266721a1"/>
        </w:rPr>
      </w:pPr>
      <w:r>
        <w:rPr>
          <w:rStyle w:val="cs5efed22f3"/>
        </w:rPr>
        <w:t>Лікування собак</w:t>
      </w:r>
      <w:r w:rsidR="005E3186">
        <w:rPr>
          <w:rStyle w:val="cs5efed22f3"/>
        </w:rPr>
        <w:t xml:space="preserve"> </w:t>
      </w:r>
      <w:r w:rsidR="005E3186">
        <w:rPr>
          <w:rStyle w:val="cs5efed22f3"/>
          <w:lang w:val="uk-UA"/>
        </w:rPr>
        <w:t>при акарозах</w:t>
      </w:r>
      <w:r>
        <w:rPr>
          <w:rStyle w:val="cs5efed22f3"/>
        </w:rPr>
        <w:t>, які спричиняються кліщами і блохами; лікування собак при ураженні шлунково-кишковими нематодами; комплексна терапія алергічного дерматиту; профілактика дирофіляріозу</w:t>
      </w:r>
      <w:r w:rsidR="002A2235" w:rsidRPr="0022635E">
        <w:rPr>
          <w:rStyle w:val="cs5efed22f3"/>
          <w:lang w:val="uk-UA"/>
        </w:rPr>
        <w:t xml:space="preserve">, </w:t>
      </w:r>
      <w:r w:rsidR="002A2235">
        <w:rPr>
          <w:rStyle w:val="cs5efed22f3"/>
        </w:rPr>
        <w:t>а</w:t>
      </w:r>
      <w:r w:rsidR="002A2235" w:rsidRPr="007C6E63">
        <w:rPr>
          <w:rStyle w:val="cs5efed22f3"/>
        </w:rPr>
        <w:t>нгіостронгільоз</w:t>
      </w:r>
      <w:r w:rsidR="002A2235">
        <w:rPr>
          <w:rStyle w:val="cs5efed22f3"/>
        </w:rPr>
        <w:t>у та телязіозу</w:t>
      </w:r>
      <w:r>
        <w:rPr>
          <w:rStyle w:val="cs5efed22f3"/>
        </w:rPr>
        <w:t xml:space="preserve"> собак:</w:t>
      </w:r>
    </w:p>
    <w:p w14:paraId="2CF33EAA" w14:textId="7BD67D92" w:rsidR="00B37F35" w:rsidRDefault="00B37F35" w:rsidP="00FC19B4">
      <w:pPr>
        <w:pStyle w:val="cs3266721a"/>
        <w:rPr>
          <w:rStyle w:val="csa62dfd6a2"/>
        </w:rPr>
      </w:pPr>
      <w:r>
        <w:rPr>
          <w:rStyle w:val="cs5efed22f3"/>
        </w:rPr>
        <w:t>Лікування собак при ураженн</w:t>
      </w:r>
      <w:r w:rsidR="002119BA" w:rsidRPr="00E52E2A">
        <w:rPr>
          <w:rStyle w:val="cs5efed22f3"/>
          <w:color w:val="auto"/>
        </w:rPr>
        <w:t>і</w:t>
      </w:r>
      <w:r>
        <w:rPr>
          <w:rStyle w:val="cs5efed22f3"/>
        </w:rPr>
        <w:t xml:space="preserve"> блохами (</w:t>
      </w:r>
      <w:r>
        <w:rPr>
          <w:rStyle w:val="csa62dfd6a2"/>
        </w:rPr>
        <w:t>Ctenocephalides</w:t>
      </w:r>
      <w:r>
        <w:rPr>
          <w:rStyle w:val="cs5efed22f3"/>
        </w:rPr>
        <w:t xml:space="preserve"> </w:t>
      </w:r>
      <w:r>
        <w:rPr>
          <w:rStyle w:val="csa62dfd6a2"/>
        </w:rPr>
        <w:t xml:space="preserve">felis </w:t>
      </w:r>
      <w:r>
        <w:rPr>
          <w:rStyle w:val="cs5efed22f3"/>
        </w:rPr>
        <w:t xml:space="preserve">та </w:t>
      </w:r>
      <w:r>
        <w:rPr>
          <w:rStyle w:val="csa62dfd6a2"/>
        </w:rPr>
        <w:t xml:space="preserve">C. canis), </w:t>
      </w:r>
      <w:r>
        <w:rPr>
          <w:rStyle w:val="cs5efed22f3"/>
        </w:rPr>
        <w:t>захист - впродовж 5</w:t>
      </w:r>
      <w:r w:rsidR="00016D35">
        <w:rPr>
          <w:rStyle w:val="cs5efed22f3"/>
        </w:rPr>
        <w:t> </w:t>
      </w:r>
      <w:r>
        <w:rPr>
          <w:rStyle w:val="cs5efed22f3"/>
        </w:rPr>
        <w:t>тижнів</w:t>
      </w:r>
      <w:r>
        <w:rPr>
          <w:rStyle w:val="csa62dfd6a2"/>
        </w:rPr>
        <w:t>.</w:t>
      </w:r>
    </w:p>
    <w:p w14:paraId="0D993CBC" w14:textId="511526B3" w:rsidR="003C69FD" w:rsidRPr="003C69FD" w:rsidRDefault="003C69FD" w:rsidP="003C69FD">
      <w:pPr>
        <w:pStyle w:val="cs3266721a"/>
        <w:rPr>
          <w:rStyle w:val="csa62dfd6a2"/>
          <w:i w:val="0"/>
          <w:iCs w:val="0"/>
        </w:rPr>
      </w:pPr>
      <w:bookmarkStart w:id="1" w:name="_Hlk135232263"/>
      <w:r>
        <w:rPr>
          <w:rStyle w:val="csa62dfd6a2"/>
          <w:i w:val="0"/>
          <w:iCs w:val="0"/>
        </w:rPr>
        <w:t xml:space="preserve">Препарат </w:t>
      </w:r>
      <w:r w:rsidRPr="003C69FD">
        <w:rPr>
          <w:rStyle w:val="csa62dfd6a2"/>
          <w:i w:val="0"/>
          <w:iCs w:val="0"/>
        </w:rPr>
        <w:t>НексГард СПЕКТРА</w:t>
      </w:r>
      <w:r>
        <w:rPr>
          <w:rStyle w:val="csa62dfd6a2"/>
          <w:i w:val="0"/>
          <w:iCs w:val="0"/>
        </w:rPr>
        <w:t xml:space="preserve"> </w:t>
      </w:r>
      <w:r w:rsidRPr="003C69FD">
        <w:rPr>
          <w:rStyle w:val="csa62dfd6a2"/>
          <w:i w:val="0"/>
          <w:iCs w:val="0"/>
        </w:rPr>
        <w:t xml:space="preserve">швидко знищує дорослих бліх </w:t>
      </w:r>
      <w:r>
        <w:rPr>
          <w:rStyle w:val="csa62dfd6a2"/>
          <w:i w:val="0"/>
          <w:iCs w:val="0"/>
        </w:rPr>
        <w:t>та</w:t>
      </w:r>
      <w:r w:rsidRPr="003C69FD">
        <w:rPr>
          <w:rStyle w:val="csa62dfd6a2"/>
          <w:i w:val="0"/>
          <w:iCs w:val="0"/>
        </w:rPr>
        <w:t xml:space="preserve"> показаний для лікування та профілактики зараження блохами (</w:t>
      </w:r>
      <w:r w:rsidRPr="00A22EE1">
        <w:rPr>
          <w:rStyle w:val="csa62dfd6a2"/>
        </w:rPr>
        <w:t>Ctenocephalides spp</w:t>
      </w:r>
      <w:r w:rsidRPr="003C69FD">
        <w:rPr>
          <w:rStyle w:val="csa62dfd6a2"/>
          <w:i w:val="0"/>
          <w:iCs w:val="0"/>
        </w:rPr>
        <w:t xml:space="preserve">.), для контролю </w:t>
      </w:r>
      <w:r w:rsidRPr="009117E2">
        <w:rPr>
          <w:rStyle w:val="csa62dfd6a2"/>
          <w:i w:val="0"/>
          <w:iCs w:val="0"/>
        </w:rPr>
        <w:t>новопоширених</w:t>
      </w:r>
      <w:r w:rsidRPr="003C69FD">
        <w:rPr>
          <w:rStyle w:val="csa62dfd6a2"/>
          <w:i w:val="0"/>
          <w:iCs w:val="0"/>
        </w:rPr>
        <w:t xml:space="preserve"> дорослих бліх і для контролю блошиного алергічного дерматиту. Після </w:t>
      </w:r>
      <w:r>
        <w:rPr>
          <w:rStyle w:val="csa62dfd6a2"/>
          <w:i w:val="0"/>
          <w:iCs w:val="0"/>
        </w:rPr>
        <w:t>застосування препарату</w:t>
      </w:r>
      <w:r w:rsidRPr="003C69FD">
        <w:rPr>
          <w:rStyle w:val="csa62dfd6a2"/>
          <w:i w:val="0"/>
          <w:iCs w:val="0"/>
        </w:rPr>
        <w:t xml:space="preserve"> блохи гинуть протягом 8 годин.</w:t>
      </w:r>
    </w:p>
    <w:p w14:paraId="6E9C50E8" w14:textId="4ABBACD2" w:rsidR="003C69FD" w:rsidRPr="00A22EE1" w:rsidRDefault="003C69FD" w:rsidP="003C69FD">
      <w:pPr>
        <w:pStyle w:val="cs3266721a"/>
        <w:rPr>
          <w:rStyle w:val="csa62dfd6a2"/>
          <w:i w:val="0"/>
          <w:iCs w:val="0"/>
        </w:rPr>
      </w:pPr>
      <w:r w:rsidRPr="003C69FD">
        <w:rPr>
          <w:rStyle w:val="csa62dfd6a2"/>
          <w:i w:val="0"/>
          <w:iCs w:val="0"/>
        </w:rPr>
        <w:t xml:space="preserve">Швидкий початок дії </w:t>
      </w:r>
      <w:r w:rsidRPr="009117E2">
        <w:rPr>
          <w:rStyle w:val="csa62dfd6a2"/>
          <w:i w:val="0"/>
          <w:iCs w:val="0"/>
        </w:rPr>
        <w:t>вбиває щойно заведених бліх</w:t>
      </w:r>
      <w:r w:rsidRPr="003C69FD">
        <w:rPr>
          <w:rStyle w:val="csa62dfd6a2"/>
          <w:i w:val="0"/>
          <w:iCs w:val="0"/>
        </w:rPr>
        <w:t xml:space="preserve"> до того, як вони зможуть відкласти яйця.</w:t>
      </w:r>
    </w:p>
    <w:p w14:paraId="440A631C" w14:textId="3221B969" w:rsidR="00E16FA0" w:rsidRDefault="00E16FA0" w:rsidP="00FC19B4">
      <w:pPr>
        <w:pStyle w:val="cs3266721a"/>
      </w:pPr>
      <w:r w:rsidRPr="00E16FA0">
        <w:t>Профілактика зараження блошиним ціп'яком. Блохи можуть передавати блошиний ціп’як (</w:t>
      </w:r>
      <w:r w:rsidRPr="00A22EE1">
        <w:rPr>
          <w:i/>
          <w:iCs/>
        </w:rPr>
        <w:t>Dipylidium caninum</w:t>
      </w:r>
      <w:r w:rsidRPr="00E16FA0">
        <w:t>). Ефективна боротьба з блохами за допомогою препарату НексГард СПЕКТРА запобігає інвазії блошинного ціп’яка.</w:t>
      </w:r>
    </w:p>
    <w:bookmarkEnd w:id="1"/>
    <w:p w14:paraId="0AB7D93A" w14:textId="007AFE87" w:rsidR="00B37F35" w:rsidRDefault="00B37F35" w:rsidP="00FC19B4">
      <w:pPr>
        <w:pStyle w:val="cs3266721a"/>
      </w:pPr>
      <w:r>
        <w:rPr>
          <w:rStyle w:val="cs5efed22f3"/>
        </w:rPr>
        <w:t>Лікування собак при ураженні кліщами (</w:t>
      </w:r>
      <w:r>
        <w:rPr>
          <w:rStyle w:val="csa62dfd6a2"/>
        </w:rPr>
        <w:t>Dermacentor reticulatus, D. variabilis</w:t>
      </w:r>
      <w:r>
        <w:rPr>
          <w:rStyle w:val="cs40acda582"/>
        </w:rPr>
        <w:t xml:space="preserve">, </w:t>
      </w:r>
      <w:r>
        <w:rPr>
          <w:rStyle w:val="csa62dfd6a2"/>
        </w:rPr>
        <w:t>Ixodes ricinus, I. scapularis,</w:t>
      </w:r>
      <w:r w:rsidR="002A2235">
        <w:rPr>
          <w:rStyle w:val="csa62dfd6a2"/>
        </w:rPr>
        <w:t xml:space="preserve"> </w:t>
      </w:r>
      <w:r w:rsidR="002A2235">
        <w:rPr>
          <w:rStyle w:val="csa62dfd6a2"/>
          <w:lang w:val="en-US"/>
        </w:rPr>
        <w:t>I</w:t>
      </w:r>
      <w:r w:rsidR="002A2235" w:rsidRPr="00740506">
        <w:rPr>
          <w:rStyle w:val="csa62dfd6a2"/>
        </w:rPr>
        <w:t xml:space="preserve">. </w:t>
      </w:r>
      <w:proofErr w:type="spellStart"/>
      <w:r w:rsidR="002A2235">
        <w:rPr>
          <w:rStyle w:val="csa62dfd6a2"/>
          <w:lang w:val="en-US"/>
        </w:rPr>
        <w:t>hexagonus</w:t>
      </w:r>
      <w:proofErr w:type="spellEnd"/>
      <w:r w:rsidR="002A2235" w:rsidRPr="00740506">
        <w:rPr>
          <w:rStyle w:val="csa62dfd6a2"/>
        </w:rPr>
        <w:t>,</w:t>
      </w:r>
      <w:r>
        <w:rPr>
          <w:rStyle w:val="cs40acda582"/>
        </w:rPr>
        <w:t xml:space="preserve"> </w:t>
      </w:r>
      <w:proofErr w:type="spellStart"/>
      <w:r>
        <w:rPr>
          <w:rStyle w:val="csa62dfd6a2"/>
        </w:rPr>
        <w:t>Rhipicephalus</w:t>
      </w:r>
      <w:proofErr w:type="spellEnd"/>
      <w:r>
        <w:rPr>
          <w:rStyle w:val="csa62dfd6a2"/>
        </w:rPr>
        <w:t xml:space="preserve"> </w:t>
      </w:r>
      <w:proofErr w:type="spellStart"/>
      <w:r>
        <w:rPr>
          <w:rStyle w:val="csa62dfd6a2"/>
        </w:rPr>
        <w:t>sanguineus</w:t>
      </w:r>
      <w:proofErr w:type="spellEnd"/>
      <w:r>
        <w:rPr>
          <w:rStyle w:val="csa62dfd6a2"/>
        </w:rPr>
        <w:t xml:space="preserve">, </w:t>
      </w:r>
      <w:bookmarkStart w:id="2" w:name="_Hlk135232282"/>
      <w:proofErr w:type="spellStart"/>
      <w:r w:rsidR="003C69FD" w:rsidRPr="003C69FD">
        <w:rPr>
          <w:rStyle w:val="csa62dfd6a2"/>
        </w:rPr>
        <w:t>Hyalomma</w:t>
      </w:r>
      <w:proofErr w:type="spellEnd"/>
      <w:r w:rsidR="003C69FD" w:rsidRPr="003C69FD">
        <w:rPr>
          <w:rStyle w:val="csa62dfd6a2"/>
        </w:rPr>
        <w:t xml:space="preserve"> marginatum</w:t>
      </w:r>
      <w:bookmarkEnd w:id="2"/>
      <w:r w:rsidR="003C69FD">
        <w:rPr>
          <w:rStyle w:val="csa62dfd6a2"/>
        </w:rPr>
        <w:t xml:space="preserve">, </w:t>
      </w:r>
      <w:r>
        <w:rPr>
          <w:rStyle w:val="csa62dfd6a2"/>
        </w:rPr>
        <w:t xml:space="preserve">Amblyomma americanum </w:t>
      </w:r>
      <w:r w:rsidR="00A507DE" w:rsidRPr="00E52E2A">
        <w:rPr>
          <w:rStyle w:val="csa62dfd6a2"/>
          <w:i w:val="0"/>
          <w:iCs w:val="0"/>
        </w:rPr>
        <w:t>та</w:t>
      </w:r>
      <w:r w:rsidR="00A507DE">
        <w:rPr>
          <w:rStyle w:val="csa62dfd6a2"/>
        </w:rPr>
        <w:t xml:space="preserve"> </w:t>
      </w:r>
      <w:r>
        <w:rPr>
          <w:rStyle w:val="csa62dfd6a2"/>
        </w:rPr>
        <w:t>Haemaphysalis longicornis</w:t>
      </w:r>
      <w:r>
        <w:rPr>
          <w:rStyle w:val="cs5efed22f3"/>
        </w:rPr>
        <w:t>), захист - впродовж 4 тижнів.</w:t>
      </w:r>
    </w:p>
    <w:p w14:paraId="2A9B498D" w14:textId="2941E8A0" w:rsidR="00B37F35" w:rsidRDefault="003C69FD" w:rsidP="00FC19B4">
      <w:pPr>
        <w:pStyle w:val="cs3266721a"/>
      </w:pPr>
      <w:bookmarkStart w:id="3" w:name="_Hlk135232328"/>
      <w:r w:rsidRPr="003C69FD">
        <w:rPr>
          <w:rStyle w:val="cs5efed22f3"/>
        </w:rPr>
        <w:t>Блохи та кліщі повинні прикріпитися до тварини та почати</w:t>
      </w:r>
      <w:r w:rsidR="009117E2">
        <w:rPr>
          <w:rStyle w:val="cs5efed22f3"/>
        </w:rPr>
        <w:t xml:space="preserve"> смоктати кров</w:t>
      </w:r>
      <w:r w:rsidRPr="003C69FD">
        <w:rPr>
          <w:rStyle w:val="cs5efed22f3"/>
        </w:rPr>
        <w:t xml:space="preserve">, щоб діюча речовина подіяла. </w:t>
      </w:r>
      <w:bookmarkEnd w:id="3"/>
      <w:r w:rsidR="00B37F35">
        <w:rPr>
          <w:rStyle w:val="cs5efed22f3"/>
        </w:rPr>
        <w:t>Лікування собак при ураженні шлунково-кишковими нематодами: токсокарами та токсаскарисами (</w:t>
      </w:r>
      <w:r w:rsidR="00B37F35">
        <w:rPr>
          <w:rStyle w:val="csa62dfd6a2"/>
        </w:rPr>
        <w:t xml:space="preserve">Toxocaris leoninа </w:t>
      </w:r>
      <w:r w:rsidR="00B37F35">
        <w:rPr>
          <w:rStyle w:val="cs5efed22f3"/>
        </w:rPr>
        <w:t xml:space="preserve">та </w:t>
      </w:r>
      <w:r w:rsidR="00B37F35">
        <w:rPr>
          <w:rStyle w:val="csa62dfd6a2"/>
        </w:rPr>
        <w:t xml:space="preserve">Toxocara canis), </w:t>
      </w:r>
      <w:r w:rsidR="00B37F35">
        <w:rPr>
          <w:rStyle w:val="cs5efed22f3"/>
        </w:rPr>
        <w:t>анкілостомами (</w:t>
      </w:r>
      <w:r w:rsidR="00B37F35">
        <w:rPr>
          <w:rStyle w:val="csa62dfd6a2"/>
        </w:rPr>
        <w:t>Ancylostoma caninum</w:t>
      </w:r>
      <w:r w:rsidR="002A2235" w:rsidRPr="00E52E2A">
        <w:rPr>
          <w:rStyle w:val="csa62dfd6a2"/>
        </w:rPr>
        <w:t>,</w:t>
      </w:r>
      <w:r w:rsidR="002A2235" w:rsidRPr="002A2235">
        <w:rPr>
          <w:i/>
          <w:iCs/>
          <w:color w:val="000000"/>
        </w:rPr>
        <w:t xml:space="preserve"> </w:t>
      </w:r>
      <w:r w:rsidR="002A2235">
        <w:rPr>
          <w:i/>
          <w:iCs/>
          <w:color w:val="000000"/>
        </w:rPr>
        <w:t>Ancylostoma ceylanicum</w:t>
      </w:r>
      <w:r w:rsidR="00B37F35">
        <w:rPr>
          <w:rStyle w:val="csa62dfd6a2"/>
        </w:rPr>
        <w:t xml:space="preserve"> </w:t>
      </w:r>
      <w:r w:rsidR="00B37F35">
        <w:rPr>
          <w:rStyle w:val="cs5efed22f3"/>
        </w:rPr>
        <w:t>та</w:t>
      </w:r>
      <w:r w:rsidR="00B37F35">
        <w:rPr>
          <w:rStyle w:val="csa62dfd6a2"/>
        </w:rPr>
        <w:t xml:space="preserve"> Ancylostoma braziliense</w:t>
      </w:r>
      <w:r w:rsidR="00B37F35">
        <w:rPr>
          <w:rStyle w:val="cs5efed22f3"/>
        </w:rPr>
        <w:t>) і трихурисами (</w:t>
      </w:r>
      <w:r w:rsidR="00B37F35">
        <w:rPr>
          <w:rStyle w:val="csa62dfd6a2"/>
        </w:rPr>
        <w:t>Trichuris vulpis).</w:t>
      </w:r>
    </w:p>
    <w:p w14:paraId="22617294" w14:textId="77777777" w:rsidR="00B37F35" w:rsidRDefault="00B37F35" w:rsidP="00FC19B4">
      <w:pPr>
        <w:pStyle w:val="cs3266721a"/>
        <w:rPr>
          <w:rStyle w:val="cs5efed22f3"/>
        </w:rPr>
      </w:pPr>
      <w:r>
        <w:rPr>
          <w:rStyle w:val="cs5efed22f3"/>
        </w:rPr>
        <w:t>Профілактика собак за дирофіляріозу (</w:t>
      </w:r>
      <w:r>
        <w:rPr>
          <w:rStyle w:val="csa62dfd6a2"/>
        </w:rPr>
        <w:t>Dirofilaria immitis</w:t>
      </w:r>
      <w:r>
        <w:rPr>
          <w:rStyle w:val="cs5efed22f3"/>
        </w:rPr>
        <w:t xml:space="preserve"> личинки) при щомісячному застосуванні.</w:t>
      </w:r>
    </w:p>
    <w:p w14:paraId="0F754EC4" w14:textId="77777777" w:rsidR="002A2235" w:rsidRDefault="002A2235" w:rsidP="00FC19B4">
      <w:pPr>
        <w:pStyle w:val="cs3266721a"/>
        <w:rPr>
          <w:rStyle w:val="cs5efed22f3"/>
        </w:rPr>
      </w:pPr>
      <w:r>
        <w:rPr>
          <w:rStyle w:val="cs5efed22f3"/>
        </w:rPr>
        <w:t>Профілактика а</w:t>
      </w:r>
      <w:r w:rsidRPr="007C6E63">
        <w:rPr>
          <w:rStyle w:val="cs5efed22f3"/>
        </w:rPr>
        <w:t>нгіостронгільоз</w:t>
      </w:r>
      <w:r>
        <w:rPr>
          <w:rStyle w:val="cs5efed22f3"/>
        </w:rPr>
        <w:t>у у собак (шляхом зниження рівня інфікування недозрілими (</w:t>
      </w:r>
      <w:r>
        <w:rPr>
          <w:rStyle w:val="cs5efed22f3"/>
          <w:lang w:val="en-US"/>
        </w:rPr>
        <w:t>L</w:t>
      </w:r>
      <w:r w:rsidRPr="00740506">
        <w:rPr>
          <w:rStyle w:val="cs5efed22f3"/>
        </w:rPr>
        <w:t xml:space="preserve">5) </w:t>
      </w:r>
      <w:r>
        <w:rPr>
          <w:rStyle w:val="cs5efed22f3"/>
        </w:rPr>
        <w:t xml:space="preserve">та дорослими </w:t>
      </w:r>
      <w:r w:rsidRPr="009E2C88">
        <w:rPr>
          <w:i/>
          <w:iCs/>
          <w:color w:val="000000"/>
        </w:rPr>
        <w:t>Angiostrongylus vasorum</w:t>
      </w:r>
      <w:r>
        <w:rPr>
          <w:i/>
          <w:iCs/>
          <w:color w:val="000000"/>
        </w:rPr>
        <w:t xml:space="preserve">) </w:t>
      </w:r>
      <w:r>
        <w:rPr>
          <w:rStyle w:val="cs5efed22f3"/>
        </w:rPr>
        <w:t>при щомісячному застосуванні.</w:t>
      </w:r>
    </w:p>
    <w:p w14:paraId="225B751E" w14:textId="77777777" w:rsidR="002A2235" w:rsidRDefault="002A2235" w:rsidP="00FC19B4">
      <w:pPr>
        <w:pStyle w:val="cs3266721a"/>
        <w:rPr>
          <w:i/>
          <w:iCs/>
        </w:rPr>
      </w:pPr>
      <w:r>
        <w:t xml:space="preserve">Лікування демодекозу (спричиненого </w:t>
      </w:r>
      <w:r w:rsidRPr="00E64BA5">
        <w:rPr>
          <w:i/>
          <w:iCs/>
        </w:rPr>
        <w:t>Demodex canis</w:t>
      </w:r>
      <w:r>
        <w:rPr>
          <w:i/>
          <w:iCs/>
        </w:rPr>
        <w:t>).</w:t>
      </w:r>
    </w:p>
    <w:p w14:paraId="29A8D76B" w14:textId="77777777" w:rsidR="002A2235" w:rsidRDefault="002A2235" w:rsidP="00FC19B4">
      <w:pPr>
        <w:pStyle w:val="cs3266721a"/>
        <w:rPr>
          <w:i/>
          <w:iCs/>
        </w:rPr>
      </w:pPr>
      <w:r>
        <w:t xml:space="preserve">Лікування саркоптозу (спричиненого </w:t>
      </w:r>
      <w:r w:rsidRPr="00E64BA5">
        <w:rPr>
          <w:i/>
          <w:iCs/>
        </w:rPr>
        <w:t>Sarcoptes scabiei var. canis</w:t>
      </w:r>
      <w:r>
        <w:rPr>
          <w:i/>
          <w:iCs/>
        </w:rPr>
        <w:t>).</w:t>
      </w:r>
    </w:p>
    <w:p w14:paraId="4D5CDD57" w14:textId="77777777" w:rsidR="002A2235" w:rsidRDefault="002A2235" w:rsidP="00FC19B4">
      <w:pPr>
        <w:pStyle w:val="cs3266721a"/>
        <w:rPr>
          <w:i/>
          <w:iCs/>
        </w:rPr>
      </w:pPr>
      <w:r>
        <w:t xml:space="preserve">Лікування отодектозу (спричиненого </w:t>
      </w:r>
      <w:r w:rsidRPr="001B160F">
        <w:rPr>
          <w:i/>
          <w:iCs/>
        </w:rPr>
        <w:t>Otodectes cynotis</w:t>
      </w:r>
      <w:r>
        <w:rPr>
          <w:i/>
          <w:iCs/>
        </w:rPr>
        <w:t>).</w:t>
      </w:r>
    </w:p>
    <w:p w14:paraId="7EA438A8" w14:textId="19A6E73A" w:rsidR="002A2235" w:rsidRDefault="002A2235" w:rsidP="00FC19B4">
      <w:pPr>
        <w:pStyle w:val="cs3266721a"/>
        <w:rPr>
          <w:rStyle w:val="cs5efed22f3"/>
        </w:rPr>
      </w:pPr>
      <w:r>
        <w:rPr>
          <w:rStyle w:val="cs5efed22f3"/>
        </w:rPr>
        <w:t xml:space="preserve">Профілактика телязіозу у собак (інфікування дорослими </w:t>
      </w:r>
      <w:r w:rsidRPr="00187895">
        <w:rPr>
          <w:i/>
          <w:iCs/>
          <w:color w:val="000000"/>
        </w:rPr>
        <w:t>Thelazia callipaeda</w:t>
      </w:r>
      <w:r>
        <w:rPr>
          <w:i/>
          <w:iCs/>
          <w:color w:val="000000"/>
        </w:rPr>
        <w:t xml:space="preserve">) </w:t>
      </w:r>
      <w:r>
        <w:rPr>
          <w:rStyle w:val="cs5efed22f3"/>
        </w:rPr>
        <w:t>при щомісячному застосуванні.</w:t>
      </w:r>
    </w:p>
    <w:p w14:paraId="3301583D" w14:textId="105FFE77" w:rsidR="003C69FD" w:rsidRDefault="003C69FD" w:rsidP="00FC19B4">
      <w:pPr>
        <w:pStyle w:val="cs3266721a"/>
        <w:rPr>
          <w:rStyle w:val="cs5efed22f3"/>
        </w:rPr>
      </w:pPr>
      <w:bookmarkStart w:id="4" w:name="_Hlk135232354"/>
      <w:r w:rsidRPr="003C69FD">
        <w:rPr>
          <w:rStyle w:val="cs5efed22f3"/>
        </w:rPr>
        <w:t xml:space="preserve">Зменшення ризику передачі </w:t>
      </w:r>
      <w:r w:rsidRPr="00A22EE1">
        <w:rPr>
          <w:rStyle w:val="cs5efed22f3"/>
          <w:i/>
          <w:iCs/>
        </w:rPr>
        <w:t>Babesia canis</w:t>
      </w:r>
      <w:r w:rsidRPr="003C69FD">
        <w:rPr>
          <w:rStyle w:val="cs5efed22f3"/>
        </w:rPr>
        <w:t xml:space="preserve"> через </w:t>
      </w:r>
      <w:r w:rsidRPr="00A22EE1">
        <w:rPr>
          <w:rStyle w:val="cs5efed22f3"/>
          <w:i/>
          <w:iCs/>
        </w:rPr>
        <w:t>Dermacentor reticulatus</w:t>
      </w:r>
      <w:r>
        <w:rPr>
          <w:rStyle w:val="cs5efed22f3"/>
        </w:rPr>
        <w:t>,</w:t>
      </w:r>
      <w:r w:rsidRPr="003C69FD">
        <w:rPr>
          <w:rStyle w:val="cs5efed22f3"/>
        </w:rPr>
        <w:t xml:space="preserve"> </w:t>
      </w:r>
      <w:r w:rsidRPr="00A22EE1">
        <w:rPr>
          <w:rStyle w:val="cs5efed22f3"/>
          <w:i/>
          <w:iCs/>
        </w:rPr>
        <w:t>Borrelia burgdorferi</w:t>
      </w:r>
      <w:r w:rsidRPr="003C69FD">
        <w:rPr>
          <w:rStyle w:val="cs5efed22f3"/>
        </w:rPr>
        <w:t xml:space="preserve"> через </w:t>
      </w:r>
      <w:r w:rsidRPr="00A22EE1">
        <w:rPr>
          <w:rStyle w:val="cs5efed22f3"/>
          <w:i/>
          <w:iCs/>
        </w:rPr>
        <w:t>Ixodes scapularis</w:t>
      </w:r>
      <w:r w:rsidRPr="003C69FD">
        <w:rPr>
          <w:rStyle w:val="cs5efed22f3"/>
        </w:rPr>
        <w:t>.</w:t>
      </w:r>
    </w:p>
    <w:bookmarkEnd w:id="4"/>
    <w:p w14:paraId="7D1E6E01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5.3 Протипоказання</w:t>
      </w:r>
    </w:p>
    <w:p w14:paraId="136F08A3" w14:textId="77777777" w:rsidR="00B37F35" w:rsidRDefault="00B37F35" w:rsidP="00FC19B4">
      <w:pPr>
        <w:widowControl w:val="0"/>
        <w:ind w:right="-36" w:firstLine="567"/>
        <w:jc w:val="both"/>
        <w:rPr>
          <w:rStyle w:val="cs7fb5c6071"/>
        </w:rPr>
      </w:pPr>
      <w:r>
        <w:rPr>
          <w:rStyle w:val="cs5efed22f4"/>
          <w:snapToGrid w:val="0"/>
        </w:rPr>
        <w:t xml:space="preserve">Не застосовувати собакам із відомою гіперчутливістю до діючих речовин препарату! </w:t>
      </w:r>
    </w:p>
    <w:p w14:paraId="25AB1AD3" w14:textId="77777777" w:rsidR="00B37F35" w:rsidRDefault="00B37F35" w:rsidP="00FC19B4">
      <w:pPr>
        <w:pStyle w:val="cs7fb5c607"/>
        <w:ind w:right="-36" w:firstLine="567"/>
      </w:pPr>
      <w:r>
        <w:rPr>
          <w:rStyle w:val="cs5efed22f4"/>
          <w:snapToGrid w:val="0"/>
        </w:rPr>
        <w:t>Не застосовувати хворим та ослабленим тваринам!</w:t>
      </w:r>
    </w:p>
    <w:p w14:paraId="3030E0AD" w14:textId="752A4D53" w:rsidR="00B37F35" w:rsidRDefault="00B37F35" w:rsidP="00FC19B4">
      <w:pPr>
        <w:pStyle w:val="cs7fb5c607"/>
        <w:ind w:right="-36" w:firstLine="567"/>
        <w:rPr>
          <w:snapToGrid w:val="0"/>
        </w:rPr>
      </w:pPr>
      <w:r>
        <w:rPr>
          <w:rStyle w:val="cs5efed22f4"/>
          <w:snapToGrid w:val="0"/>
        </w:rPr>
        <w:t xml:space="preserve">Не застосовувати цуценятам віком до 8 тижнів і масою тіла до </w:t>
      </w:r>
      <w:r w:rsidR="00D76F2C">
        <w:rPr>
          <w:rStyle w:val="cs5efed22f4"/>
          <w:snapToGrid w:val="0"/>
        </w:rPr>
        <w:t>1,35</w:t>
      </w:r>
      <w:r>
        <w:rPr>
          <w:rStyle w:val="cs5efed22f4"/>
          <w:snapToGrid w:val="0"/>
        </w:rPr>
        <w:t xml:space="preserve"> кг.</w:t>
      </w:r>
    </w:p>
    <w:p w14:paraId="5E282663" w14:textId="77777777" w:rsidR="00B37F35" w:rsidRDefault="00B37F35" w:rsidP="00FC19B4">
      <w:pPr>
        <w:pStyle w:val="cs7fb5c607"/>
        <w:ind w:right="-36" w:firstLine="567"/>
        <w:rPr>
          <w:snapToGrid w:val="0"/>
        </w:rPr>
      </w:pPr>
      <w:r>
        <w:rPr>
          <w:rStyle w:val="cs5efed22f4"/>
          <w:snapToGrid w:val="0"/>
        </w:rPr>
        <w:t>Не застосовувати іншим видам тварин, окрім собак!</w:t>
      </w:r>
    </w:p>
    <w:p w14:paraId="45558020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 w:rsidRPr="00E122A1">
        <w:rPr>
          <w:b/>
          <w:snapToGrid w:val="0"/>
          <w:sz w:val="24"/>
          <w:szCs w:val="24"/>
        </w:rPr>
        <w:t>5.</w:t>
      </w:r>
      <w:r>
        <w:rPr>
          <w:b/>
          <w:snapToGrid w:val="0"/>
          <w:sz w:val="24"/>
          <w:szCs w:val="24"/>
        </w:rPr>
        <w:t>4</w:t>
      </w:r>
      <w:r w:rsidRPr="00E122A1">
        <w:rPr>
          <w:b/>
          <w:snapToGrid w:val="0"/>
          <w:sz w:val="24"/>
          <w:szCs w:val="24"/>
        </w:rPr>
        <w:t xml:space="preserve"> Побічна дія</w:t>
      </w:r>
    </w:p>
    <w:p w14:paraId="7C21357F" w14:textId="77777777" w:rsidR="00B37F35" w:rsidRDefault="00B37F35" w:rsidP="005D2CE2">
      <w:pPr>
        <w:widowControl w:val="0"/>
        <w:ind w:right="-36" w:firstLine="560"/>
        <w:jc w:val="both"/>
        <w:rPr>
          <w:rStyle w:val="cs242d954b1"/>
        </w:rPr>
      </w:pPr>
      <w:r>
        <w:rPr>
          <w:rStyle w:val="cs5efed22f5"/>
          <w:snapToGrid w:val="0"/>
        </w:rPr>
        <w:t>Клінічні випробування застосування афоксоланеру у поєднанні з мілбеміцину оксимом  не виявили серйозних симптомів побічної дії. Такі симптоми як блювота, діарея, апатія, анорексія та свербіж спостерігалися дуже рідко. Такі ускладнення  були поодинокі і нетривалі.</w:t>
      </w:r>
      <w:r w:rsidR="005D2CE2" w:rsidRPr="005D2CE2">
        <w:t xml:space="preserve"> </w:t>
      </w:r>
      <w:r w:rsidR="005D2CE2" w:rsidRPr="007B1722">
        <w:rPr>
          <w:sz w:val="24"/>
          <w:szCs w:val="24"/>
        </w:rPr>
        <w:t>Післямаркетингові дослідження безпечності препарату показали д</w:t>
      </w:r>
      <w:r w:rsidR="005D2CE2" w:rsidRPr="005D2CE2">
        <w:rPr>
          <w:rStyle w:val="cs5efed22f5"/>
          <w:snapToGrid w:val="0"/>
        </w:rPr>
        <w:t>уже рідкі повідом</w:t>
      </w:r>
      <w:r w:rsidR="00007A77">
        <w:rPr>
          <w:rStyle w:val="cs5efed22f5"/>
          <w:snapToGrid w:val="0"/>
        </w:rPr>
        <w:t>лення</w:t>
      </w:r>
      <w:r w:rsidR="005D2CE2" w:rsidRPr="005D2CE2">
        <w:rPr>
          <w:rStyle w:val="cs5efed22f5"/>
          <w:snapToGrid w:val="0"/>
        </w:rPr>
        <w:t xml:space="preserve"> про еритему та неврологічні ознаки (судоми, атаксія та тремтіння м’язів).</w:t>
      </w:r>
    </w:p>
    <w:p w14:paraId="210E3C3B" w14:textId="4337E635" w:rsidR="00B37F35" w:rsidRDefault="00B37F35" w:rsidP="00FC19B4">
      <w:pPr>
        <w:pStyle w:val="cs242d954b"/>
        <w:ind w:right="-80"/>
      </w:pPr>
      <w:r>
        <w:rPr>
          <w:rStyle w:val="cs5efed22f5"/>
          <w:snapToGrid w:val="0"/>
        </w:rPr>
        <w:t xml:space="preserve">Частота виникнення симптомів </w:t>
      </w:r>
      <w:r w:rsidR="005D2CE2">
        <w:rPr>
          <w:rStyle w:val="cs5efed22f5"/>
          <w:snapToGrid w:val="0"/>
        </w:rPr>
        <w:t xml:space="preserve">небажаних явищ </w:t>
      </w:r>
      <w:r>
        <w:rPr>
          <w:rStyle w:val="cs5efed22f5"/>
          <w:snapToGrid w:val="0"/>
        </w:rPr>
        <w:t>визначається таким чином:</w:t>
      </w:r>
    </w:p>
    <w:p w14:paraId="3A2956E9" w14:textId="77777777" w:rsidR="00B37F35" w:rsidRDefault="00B37F35" w:rsidP="00FC19B4">
      <w:pPr>
        <w:pStyle w:val="cs242d954b"/>
        <w:ind w:right="-80"/>
        <w:rPr>
          <w:snapToGrid w:val="0"/>
        </w:rPr>
      </w:pPr>
      <w:r>
        <w:rPr>
          <w:rStyle w:val="cs5efed22f5"/>
          <w:snapToGrid w:val="0"/>
        </w:rPr>
        <w:t>- дуже часто (ускладнення виникають у більше ніж в 1 тварини з 10, яким застосовувався препарат);</w:t>
      </w:r>
    </w:p>
    <w:p w14:paraId="5EF7FA51" w14:textId="77777777" w:rsidR="00B37F35" w:rsidRDefault="00B37F35" w:rsidP="00FC19B4">
      <w:pPr>
        <w:pStyle w:val="cs242d954b"/>
        <w:ind w:right="-80"/>
        <w:rPr>
          <w:snapToGrid w:val="0"/>
        </w:rPr>
      </w:pPr>
      <w:r>
        <w:rPr>
          <w:rStyle w:val="cs5efed22f5"/>
          <w:snapToGrid w:val="0"/>
        </w:rPr>
        <w:t>- часто (більше ніж в 1 тварини, але менше ніж у 10 із 100 тварин);</w:t>
      </w:r>
    </w:p>
    <w:p w14:paraId="6A4ACED0" w14:textId="77777777" w:rsidR="00B37F35" w:rsidRDefault="00B37F35" w:rsidP="00FC19B4">
      <w:pPr>
        <w:pStyle w:val="cs242d954b"/>
        <w:ind w:right="-80"/>
        <w:rPr>
          <w:snapToGrid w:val="0"/>
        </w:rPr>
      </w:pPr>
      <w:r>
        <w:rPr>
          <w:rStyle w:val="cs5efed22f5"/>
          <w:snapToGrid w:val="0"/>
        </w:rPr>
        <w:t>- не часто (більше ніж в 1 тварини, але менше ніж у 10 із 1000 тварин);</w:t>
      </w:r>
    </w:p>
    <w:p w14:paraId="52ECF626" w14:textId="77777777" w:rsidR="00B37F35" w:rsidRDefault="00B37F35" w:rsidP="00FC19B4">
      <w:pPr>
        <w:pStyle w:val="cs242d954b"/>
        <w:ind w:right="-80"/>
        <w:rPr>
          <w:snapToGrid w:val="0"/>
        </w:rPr>
      </w:pPr>
      <w:r>
        <w:rPr>
          <w:rStyle w:val="cs5efed22f5"/>
          <w:snapToGrid w:val="0"/>
        </w:rPr>
        <w:t>- рідко (більше ніж в 1 тварини, але менше ніж у 10 із 10 000 тварин);</w:t>
      </w:r>
    </w:p>
    <w:p w14:paraId="67AC01EB" w14:textId="77777777" w:rsidR="00B37F35" w:rsidRDefault="00B37F35" w:rsidP="00FC19B4">
      <w:pPr>
        <w:pStyle w:val="cs242d954b"/>
        <w:rPr>
          <w:snapToGrid w:val="0"/>
        </w:rPr>
      </w:pPr>
      <w:r>
        <w:rPr>
          <w:rStyle w:val="cs5efed22f5"/>
          <w:snapToGrid w:val="0"/>
        </w:rPr>
        <w:t>- дуже рідко (менше ніж в 1 тварини із 10000 тварин, включаючи окремі повідомлення).</w:t>
      </w:r>
    </w:p>
    <w:p w14:paraId="4CD286B6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lastRenderedPageBreak/>
        <w:t>5.5 Особливі застереження при використанні</w:t>
      </w:r>
    </w:p>
    <w:p w14:paraId="4386D500" w14:textId="23340521" w:rsidR="00B37F35" w:rsidRPr="005D2CE2" w:rsidRDefault="00B37F35" w:rsidP="00FC19B4">
      <w:pPr>
        <w:widowControl w:val="0"/>
        <w:ind w:right="-36" w:firstLine="560"/>
        <w:jc w:val="both"/>
        <w:rPr>
          <w:rStyle w:val="csccbacf971"/>
        </w:rPr>
      </w:pPr>
      <w:r>
        <w:rPr>
          <w:rStyle w:val="cs5efed22f6"/>
          <w:snapToGrid w:val="0"/>
        </w:rPr>
        <w:t xml:space="preserve">Застосування препарату тваринам віком до 8 тижнів та/або масою тіла до </w:t>
      </w:r>
      <w:r w:rsidR="00D76F2C">
        <w:rPr>
          <w:rStyle w:val="cs5efed22f6"/>
          <w:snapToGrid w:val="0"/>
        </w:rPr>
        <w:t>1,35</w:t>
      </w:r>
      <w:r>
        <w:rPr>
          <w:rStyle w:val="cs5efed22f6"/>
          <w:snapToGrid w:val="0"/>
        </w:rPr>
        <w:t xml:space="preserve"> кг повинно </w:t>
      </w:r>
      <w:r w:rsidR="00E122A1">
        <w:rPr>
          <w:rStyle w:val="cs5efed22f6"/>
          <w:snapToGrid w:val="0"/>
        </w:rPr>
        <w:t>ґ</w:t>
      </w:r>
      <w:r>
        <w:rPr>
          <w:rStyle w:val="cs5efed22f6"/>
          <w:snapToGrid w:val="0"/>
        </w:rPr>
        <w:t>рунтуватися на оцінці ризику/користі.</w:t>
      </w:r>
    </w:p>
    <w:p w14:paraId="26A63585" w14:textId="77777777" w:rsidR="00B37F35" w:rsidRDefault="00B37F35" w:rsidP="00FC19B4">
      <w:pPr>
        <w:pStyle w:val="cs242daed1"/>
        <w:ind w:right="-120"/>
      </w:pPr>
      <w:r>
        <w:rPr>
          <w:rStyle w:val="cs5efed22f6"/>
          <w:snapToGrid w:val="0"/>
        </w:rPr>
        <w:t>Перед застосуванням препарату для профілактики дирофіляріозу, рекомендують попередньо провести обстеження собак на виявлення в організмі статевозрілих дирофілярій. Лікар ветеринарної медицини вирішує, які заражені собаки повинні бути оброблені препаратом, що діє на дорослих дирофілярій. Препарат НексГард СПЕКТРА не знищує мікрофілярії.</w:t>
      </w:r>
    </w:p>
    <w:p w14:paraId="516004F5" w14:textId="34580ECA" w:rsidR="00B37F35" w:rsidRDefault="00B37F35" w:rsidP="00FC19B4">
      <w:pPr>
        <w:pStyle w:val="cs242daed1"/>
        <w:rPr>
          <w:snapToGrid w:val="0"/>
        </w:rPr>
      </w:pPr>
      <w:bookmarkStart w:id="5" w:name="_Hlk135232437"/>
      <w:r>
        <w:rPr>
          <w:rStyle w:val="cs5efed22f6"/>
          <w:snapToGrid w:val="0"/>
        </w:rPr>
        <w:t xml:space="preserve">Застосування </w:t>
      </w:r>
      <w:r w:rsidR="009117E2">
        <w:rPr>
          <w:rStyle w:val="cs5efed22f6"/>
          <w:snapToGrid w:val="0"/>
        </w:rPr>
        <w:t xml:space="preserve">дозволене </w:t>
      </w:r>
      <w:r>
        <w:rPr>
          <w:rStyle w:val="cs5efed22f6"/>
          <w:snapToGrid w:val="0"/>
        </w:rPr>
        <w:t xml:space="preserve">препарату НексГард СПЕКТРА для собак породи коллі </w:t>
      </w:r>
      <w:r w:rsidR="003C69FD" w:rsidRPr="003C69FD">
        <w:rPr>
          <w:rStyle w:val="cs5efed22f6"/>
          <w:snapToGrid w:val="0"/>
        </w:rPr>
        <w:t xml:space="preserve">з мутацією гену MDR1 </w:t>
      </w:r>
      <w:r>
        <w:rPr>
          <w:rStyle w:val="cs5efed22f6"/>
          <w:snapToGrid w:val="0"/>
        </w:rPr>
        <w:t xml:space="preserve">та споріднених порід </w:t>
      </w:r>
      <w:bookmarkEnd w:id="5"/>
    </w:p>
    <w:p w14:paraId="6BAB1C71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5.6 Використання під час вагітності, лактації, несучості</w:t>
      </w:r>
    </w:p>
    <w:p w14:paraId="6FA09ACD" w14:textId="77777777" w:rsidR="003C69FD" w:rsidRDefault="003C69FD" w:rsidP="00FC19B4">
      <w:pPr>
        <w:widowControl w:val="0"/>
        <w:ind w:right="-36" w:firstLine="560"/>
        <w:jc w:val="both"/>
        <w:rPr>
          <w:rStyle w:val="cs5efed22f7"/>
          <w:snapToGrid w:val="0"/>
        </w:rPr>
      </w:pPr>
      <w:bookmarkStart w:id="6" w:name="_Hlk135305413"/>
      <w:r w:rsidRPr="003C69FD">
        <w:rPr>
          <w:rStyle w:val="cs5efed22f7"/>
          <w:snapToGrid w:val="0"/>
        </w:rPr>
        <w:t>Препарат може застосовуватись під час розведення, вагітності та лактації собак.</w:t>
      </w:r>
    </w:p>
    <w:p w14:paraId="7E9A1596" w14:textId="1E9C39D6" w:rsidR="003C1C26" w:rsidRDefault="003C1C26" w:rsidP="00FC19B4">
      <w:pPr>
        <w:widowControl w:val="0"/>
        <w:ind w:right="-36" w:firstLine="560"/>
        <w:jc w:val="both"/>
        <w:rPr>
          <w:rStyle w:val="cs5efed22f7"/>
          <w:snapToGrid w:val="0"/>
        </w:rPr>
      </w:pPr>
      <w:r w:rsidRPr="003C1C26">
        <w:rPr>
          <w:rStyle w:val="cs5efed22f7"/>
          <w:snapToGrid w:val="0"/>
        </w:rPr>
        <w:t>Безпечність застосування препарату племінним самцям не встановлена.</w:t>
      </w:r>
    </w:p>
    <w:p w14:paraId="1E6F1B68" w14:textId="2D964186" w:rsidR="00B37F35" w:rsidRDefault="003C1C26" w:rsidP="00FC19B4">
      <w:pPr>
        <w:widowControl w:val="0"/>
        <w:ind w:right="-36" w:firstLine="560"/>
        <w:jc w:val="both"/>
        <w:rPr>
          <w:rStyle w:val="cs242d954b2"/>
        </w:rPr>
      </w:pPr>
      <w:bookmarkStart w:id="7" w:name="_Hlk135223471"/>
      <w:r>
        <w:rPr>
          <w:rStyle w:val="cs5efed22f7"/>
          <w:snapToGrid w:val="0"/>
        </w:rPr>
        <w:t>Лабораторні д</w:t>
      </w:r>
      <w:r w:rsidR="00B37F35">
        <w:rPr>
          <w:rStyle w:val="cs5efed22f7"/>
          <w:snapToGrid w:val="0"/>
        </w:rPr>
        <w:t>ослідження проведені на щурах та кролях не виявили тератогенної дії та іншої негативної дії на репродуктивну систему самців та самок.</w:t>
      </w:r>
    </w:p>
    <w:bookmarkEnd w:id="7"/>
    <w:p w14:paraId="37967D09" w14:textId="77777777" w:rsidR="00A22EE1" w:rsidRDefault="003C1C26" w:rsidP="00FC19B4">
      <w:pPr>
        <w:widowControl w:val="0"/>
        <w:ind w:right="454" w:firstLine="567"/>
        <w:jc w:val="both"/>
        <w:rPr>
          <w:rStyle w:val="cs5efed22f7"/>
          <w:snapToGrid w:val="0"/>
        </w:rPr>
      </w:pPr>
      <w:r w:rsidRPr="003C1C26">
        <w:rPr>
          <w:rStyle w:val="cs5efed22f7"/>
          <w:snapToGrid w:val="0"/>
        </w:rPr>
        <w:t>Застосування препарату племінним тваринам ґрунтується на оцінці співвідношення ризику/користі під відповідальність лікаря ветеринарної медицини.</w:t>
      </w:r>
      <w:bookmarkEnd w:id="6"/>
    </w:p>
    <w:p w14:paraId="3315962B" w14:textId="2A70771E" w:rsidR="00B37F35" w:rsidRPr="00B95586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5.7 </w:t>
      </w:r>
      <w:r w:rsidRPr="00B95586">
        <w:rPr>
          <w:b/>
          <w:snapToGrid w:val="0"/>
          <w:sz w:val="24"/>
          <w:szCs w:val="24"/>
        </w:rPr>
        <w:t>Взаємодія з іншими засобами та інші форми взаємодії</w:t>
      </w:r>
    </w:p>
    <w:p w14:paraId="5E2EB4B4" w14:textId="77777777" w:rsidR="00B37F35" w:rsidRPr="00B95586" w:rsidRDefault="00B37F35" w:rsidP="00FC19B4">
      <w:pPr>
        <w:widowControl w:val="0"/>
        <w:ind w:right="-36" w:firstLine="567"/>
        <w:jc w:val="both"/>
        <w:rPr>
          <w:rStyle w:val="cs7fb5c6072"/>
        </w:rPr>
      </w:pPr>
      <w:r w:rsidRPr="00B95586">
        <w:rPr>
          <w:rStyle w:val="cs5efed22f8"/>
          <w:snapToGrid w:val="0"/>
        </w:rPr>
        <w:t>Відомості про несумісність препарату НексГард СПЕКТРА з іншими ветеринарними</w:t>
      </w:r>
      <w:r w:rsidR="000E4F62" w:rsidRPr="00B95586">
        <w:rPr>
          <w:rStyle w:val="cs5efed22f8"/>
          <w:snapToGrid w:val="0"/>
        </w:rPr>
        <w:t xml:space="preserve"> </w:t>
      </w:r>
      <w:r w:rsidRPr="00B95586">
        <w:rPr>
          <w:rStyle w:val="cs5efed22f8"/>
          <w:snapToGrid w:val="0"/>
        </w:rPr>
        <w:t>препаратами і кормовими добавками відсутні.</w:t>
      </w:r>
    </w:p>
    <w:p w14:paraId="40D7495D" w14:textId="77777777" w:rsidR="00B37F35" w:rsidRPr="00B95586" w:rsidRDefault="00B37F35" w:rsidP="00FC19B4">
      <w:pPr>
        <w:pStyle w:val="cs242d954b"/>
      </w:pPr>
      <w:r w:rsidRPr="00B95586">
        <w:rPr>
          <w:rStyle w:val="cs5efed22f8"/>
          <w:snapToGrid w:val="0"/>
        </w:rPr>
        <w:t>Мілбеміцину оксим є субстратом для Р-глікопротеїну (Р-гп) і може взаємодіяти з іншими субстратами Р-гп (напр., дігоксин, доксорубіцин) або іншими макроциклічними лактонами. Таким чином, одночасне застосування препараті</w:t>
      </w:r>
      <w:r w:rsidR="00EA6F48" w:rsidRPr="00B95586">
        <w:rPr>
          <w:rStyle w:val="cs5efed22f8"/>
          <w:snapToGrid w:val="0"/>
        </w:rPr>
        <w:t>в</w:t>
      </w:r>
      <w:r w:rsidRPr="00B95586">
        <w:rPr>
          <w:rStyle w:val="cs5efed22f8"/>
          <w:snapToGrid w:val="0"/>
        </w:rPr>
        <w:t xml:space="preserve"> з іншими P-гп субстратами може привести до підвищеної токсичності.</w:t>
      </w:r>
    </w:p>
    <w:p w14:paraId="1E2644D0" w14:textId="77777777" w:rsidR="00B37F35" w:rsidRPr="00B95586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 w:rsidRPr="00B95586">
        <w:rPr>
          <w:b/>
          <w:snapToGrid w:val="0"/>
          <w:sz w:val="24"/>
          <w:szCs w:val="24"/>
        </w:rPr>
        <w:t>5.8 Дози і способи введення тваринам різного віку</w:t>
      </w:r>
    </w:p>
    <w:p w14:paraId="3D2A92BD" w14:textId="370894FF" w:rsidR="00B37F35" w:rsidRPr="00B95586" w:rsidRDefault="00B37F35" w:rsidP="00FC19B4">
      <w:pPr>
        <w:widowControl w:val="0"/>
        <w:ind w:right="-36" w:firstLine="560"/>
        <w:jc w:val="both"/>
        <w:rPr>
          <w:rStyle w:val="cs3266721a2"/>
        </w:rPr>
      </w:pPr>
      <w:r w:rsidRPr="00B95586">
        <w:rPr>
          <w:rStyle w:val="cs5efed22f9"/>
          <w:snapToGrid w:val="0"/>
        </w:rPr>
        <w:t xml:space="preserve">Препарат НексГард СПЕКТРА застосовують собакам індивідуально перорально одноразово у дозі 2,5 – </w:t>
      </w:r>
      <w:r w:rsidR="00185554" w:rsidRPr="00B95586">
        <w:rPr>
          <w:rStyle w:val="cs5efed22f9"/>
          <w:snapToGrid w:val="0"/>
        </w:rPr>
        <w:t>6,94</w:t>
      </w:r>
      <w:r w:rsidRPr="00B95586">
        <w:rPr>
          <w:rStyle w:val="cs5efed22f9"/>
          <w:snapToGrid w:val="0"/>
        </w:rPr>
        <w:t xml:space="preserve"> мг афоксоланеру та 0,5-</w:t>
      </w:r>
      <w:r w:rsidR="00185554" w:rsidRPr="00B95586">
        <w:rPr>
          <w:rStyle w:val="cs5efed22f9"/>
          <w:snapToGrid w:val="0"/>
        </w:rPr>
        <w:t>1,39</w:t>
      </w:r>
      <w:r w:rsidRPr="00B95586">
        <w:rPr>
          <w:rStyle w:val="cs5efed22f9"/>
          <w:snapToGrid w:val="0"/>
        </w:rPr>
        <w:t xml:space="preserve"> мг мілбеміцину оксим на 1 кг маси тіла тварини відповідно з таблицею:</w:t>
      </w:r>
    </w:p>
    <w:p w14:paraId="254C38D3" w14:textId="77777777" w:rsidR="00B37F35" w:rsidRPr="00B95586" w:rsidRDefault="00B37F35" w:rsidP="00FC19B4">
      <w:pPr>
        <w:pStyle w:val="cs80d9435b"/>
      </w:pPr>
      <w:r w:rsidRPr="00B95586">
        <w:rPr>
          <w:rStyle w:val="cs5efed22f9"/>
          <w:snapToGrid w:val="0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1737"/>
        <w:gridCol w:w="1737"/>
        <w:gridCol w:w="1737"/>
        <w:gridCol w:w="1737"/>
        <w:gridCol w:w="1737"/>
      </w:tblGrid>
      <w:tr w:rsidR="00B37F35" w:rsidRPr="00B95586" w14:paraId="7667078D" w14:textId="77777777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BA29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Маса тіла тварини, кг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EA9FB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НексГард СПЕКТРА</w:t>
            </w:r>
          </w:p>
          <w:p w14:paraId="6CFC0262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9 мг/2 мг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61A4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НексГард СПЕКТРА</w:t>
            </w:r>
          </w:p>
          <w:p w14:paraId="2C5283C1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19 мг/4 мг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5F46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НексГард</w:t>
            </w:r>
          </w:p>
          <w:p w14:paraId="2174EA4E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СПЕКТРА</w:t>
            </w:r>
          </w:p>
          <w:p w14:paraId="1D4D7F24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38 мг/8 мг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4286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НексГард</w:t>
            </w:r>
          </w:p>
          <w:p w14:paraId="1AEBDC3C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СПЕКТРА</w:t>
            </w:r>
          </w:p>
          <w:p w14:paraId="656C9D32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75 мг/15 мг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783C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НексГард</w:t>
            </w:r>
          </w:p>
          <w:p w14:paraId="6F2C4CF1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СПЕКТРА</w:t>
            </w:r>
          </w:p>
          <w:p w14:paraId="1190ADC5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150/30 мг</w:t>
            </w:r>
          </w:p>
        </w:tc>
      </w:tr>
      <w:tr w:rsidR="00B37F35" w:rsidRPr="00B95586" w14:paraId="2BB001E3" w14:textId="77777777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993C5" w14:textId="5F48D812" w:rsidR="00B37F35" w:rsidRPr="00B95586" w:rsidRDefault="00D76F2C" w:rsidP="00FC19B4">
            <w:pPr>
              <w:pStyle w:val="cs81fbcbd0"/>
            </w:pPr>
            <w:r w:rsidRPr="00B95586">
              <w:rPr>
                <w:rStyle w:val="cs5efed22f9"/>
              </w:rPr>
              <w:t>1,35</w:t>
            </w:r>
            <w:r w:rsidR="00B37F35" w:rsidRPr="00B95586">
              <w:rPr>
                <w:rStyle w:val="cs5efed22f9"/>
              </w:rPr>
              <w:t>-3,5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EDF8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1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4112B" w14:textId="77777777" w:rsidR="00B37F35" w:rsidRPr="00B95586" w:rsidRDefault="00B37F35" w:rsidP="00FC19B4">
            <w:pPr>
              <w:pStyle w:val="cs83a78f7e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382CD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DC6B2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C546F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 </w:t>
            </w:r>
          </w:p>
        </w:tc>
      </w:tr>
      <w:tr w:rsidR="00B37F35" w:rsidRPr="00B95586" w14:paraId="50220049" w14:textId="77777777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539F5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&gt;3,5-7,5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3355" w14:textId="77777777" w:rsidR="00B37F35" w:rsidRPr="00B95586" w:rsidRDefault="00B37F35" w:rsidP="00FC19B4">
            <w:pPr>
              <w:pStyle w:val="cs83a78f7e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4116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1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B08D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D69B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D9C9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 </w:t>
            </w:r>
          </w:p>
        </w:tc>
      </w:tr>
      <w:tr w:rsidR="00B37F35" w14:paraId="4B0547CB" w14:textId="77777777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1CB8F" w14:textId="77777777" w:rsidR="00B37F35" w:rsidRPr="00B95586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&gt;7,5-15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AFB05" w14:textId="77777777" w:rsidR="00B37F35" w:rsidRPr="00B95586" w:rsidRDefault="00B37F35" w:rsidP="00FC19B4">
            <w:pPr>
              <w:pStyle w:val="cs83a78f7e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F95B" w14:textId="77777777" w:rsidR="00B37F35" w:rsidRPr="00B95586" w:rsidRDefault="00B37F35" w:rsidP="00FC19B4">
            <w:pPr>
              <w:pStyle w:val="cs83a78f7e"/>
            </w:pPr>
            <w:r w:rsidRPr="00B95586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712B7" w14:textId="77777777" w:rsidR="00B37F35" w:rsidRDefault="00B37F35" w:rsidP="00FC19B4">
            <w:pPr>
              <w:pStyle w:val="cs81fbcbd0"/>
            </w:pPr>
            <w:r w:rsidRPr="00B95586">
              <w:rPr>
                <w:rStyle w:val="cs5efed22f9"/>
              </w:rPr>
              <w:t>1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5DDA7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55471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 </w:t>
            </w:r>
          </w:p>
        </w:tc>
      </w:tr>
      <w:tr w:rsidR="00B37F35" w14:paraId="29EFE957" w14:textId="77777777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214C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&gt;15-30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1F53" w14:textId="77777777" w:rsidR="00B37F35" w:rsidRDefault="00B37F35" w:rsidP="00FC19B4">
            <w:pPr>
              <w:pStyle w:val="cs83a78f7e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08E44" w14:textId="77777777" w:rsidR="00B37F35" w:rsidRDefault="00B37F35" w:rsidP="00FC19B4">
            <w:pPr>
              <w:pStyle w:val="cs83a78f7e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E9BC0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CE72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1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C002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 </w:t>
            </w:r>
          </w:p>
        </w:tc>
      </w:tr>
      <w:tr w:rsidR="00B37F35" w14:paraId="3ACA8332" w14:textId="77777777"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758F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&gt;30-60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EFAD" w14:textId="77777777" w:rsidR="00B37F35" w:rsidRDefault="00B37F35" w:rsidP="00FC19B4">
            <w:pPr>
              <w:pStyle w:val="cs83a78f7e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9C15" w14:textId="77777777" w:rsidR="00B37F35" w:rsidRDefault="00B37F35" w:rsidP="00FC19B4">
            <w:pPr>
              <w:pStyle w:val="cs83a78f7e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8C279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6490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3C286" w14:textId="77777777" w:rsidR="00B37F35" w:rsidRDefault="00B37F35" w:rsidP="00FC19B4">
            <w:pPr>
              <w:pStyle w:val="cs81fbcbd0"/>
            </w:pPr>
            <w:r w:rsidRPr="00093069">
              <w:rPr>
                <w:rStyle w:val="cs5efed22f9"/>
              </w:rPr>
              <w:t>1</w:t>
            </w:r>
          </w:p>
        </w:tc>
      </w:tr>
    </w:tbl>
    <w:p w14:paraId="0617D9F4" w14:textId="77777777" w:rsidR="00B37F35" w:rsidRDefault="00B37F35" w:rsidP="00FC19B4">
      <w:pPr>
        <w:pStyle w:val="cs242d954b"/>
        <w:rPr>
          <w:snapToGrid w:val="0"/>
        </w:rPr>
      </w:pPr>
      <w:r>
        <w:rPr>
          <w:rStyle w:val="cs5efed22f9"/>
          <w:snapToGrid w:val="0"/>
        </w:rPr>
        <w:t> </w:t>
      </w:r>
    </w:p>
    <w:p w14:paraId="5C110F60" w14:textId="252A11B5" w:rsidR="00B37F35" w:rsidRDefault="00B37F35" w:rsidP="00FC19B4">
      <w:pPr>
        <w:pStyle w:val="cs242d954b"/>
        <w:rPr>
          <w:snapToGrid w:val="0"/>
        </w:rPr>
      </w:pPr>
      <w:r>
        <w:rPr>
          <w:rStyle w:val="cs5efed22f9"/>
          <w:snapToGrid w:val="0"/>
        </w:rPr>
        <w:t xml:space="preserve">Для собак масою тіла більше 60 кг використовують комбінацію </w:t>
      </w:r>
      <w:r w:rsidR="00185554">
        <w:rPr>
          <w:rStyle w:val="cs5efed22f9"/>
          <w:snapToGrid w:val="0"/>
        </w:rPr>
        <w:t xml:space="preserve">жувальних </w:t>
      </w:r>
      <w:r>
        <w:rPr>
          <w:rStyle w:val="cs5efed22f9"/>
          <w:snapToGrid w:val="0"/>
        </w:rPr>
        <w:t xml:space="preserve">таблеток різної/однакової концентрації. </w:t>
      </w:r>
    </w:p>
    <w:p w14:paraId="1587B663" w14:textId="77777777" w:rsidR="00B37F35" w:rsidRDefault="00B37F35" w:rsidP="00FC19B4">
      <w:pPr>
        <w:pStyle w:val="cs242d954b"/>
        <w:rPr>
          <w:snapToGrid w:val="0"/>
        </w:rPr>
      </w:pPr>
      <w:r>
        <w:rPr>
          <w:rStyle w:val="cs5efed22f9"/>
          <w:snapToGrid w:val="0"/>
        </w:rPr>
        <w:t xml:space="preserve">Схема застосування препарату </w:t>
      </w:r>
      <w:r w:rsidR="00E122A1">
        <w:rPr>
          <w:rStyle w:val="cs5efed22f9"/>
          <w:snapToGrid w:val="0"/>
        </w:rPr>
        <w:t>ґ</w:t>
      </w:r>
      <w:r>
        <w:rPr>
          <w:rStyle w:val="cs5efed22f9"/>
          <w:snapToGrid w:val="0"/>
        </w:rPr>
        <w:t xml:space="preserve">рунтується на результатах діагностики та локальній епізоотичній ситуації. </w:t>
      </w:r>
    </w:p>
    <w:p w14:paraId="126CA5A5" w14:textId="77777777" w:rsidR="00B37F35" w:rsidRDefault="00B37F35" w:rsidP="00FC19B4">
      <w:pPr>
        <w:pStyle w:val="cs3266721a"/>
        <w:rPr>
          <w:snapToGrid w:val="0"/>
        </w:rPr>
      </w:pPr>
      <w:r>
        <w:rPr>
          <w:rStyle w:val="cs5efed22f9"/>
          <w:snapToGrid w:val="0"/>
        </w:rPr>
        <w:t xml:space="preserve">НексГард СПЕКТРА може використовуватись як частина сезонного лікування проти бліх та кліщів (замінюючи лікування моновалентним препаратом) у собак із встановленим діагнозом шлунково-кишкових нематодозів. Одноразове застосування препарату є ефективним при лікуванні шлунково-кишкових нематодозів. Після проведеного лікування нематодозів наступна обробка тварин проти бліх та кліщів проводиться моновалентними препаратами. </w:t>
      </w:r>
    </w:p>
    <w:p w14:paraId="6D1B6ED3" w14:textId="77777777" w:rsidR="00B37F35" w:rsidRDefault="00B37F35" w:rsidP="00FC19B4">
      <w:pPr>
        <w:pStyle w:val="cs3266721a"/>
        <w:rPr>
          <w:snapToGrid w:val="0"/>
        </w:rPr>
      </w:pPr>
      <w:r>
        <w:rPr>
          <w:rStyle w:val="cs5efed22f9"/>
          <w:snapToGrid w:val="0"/>
        </w:rPr>
        <w:t xml:space="preserve">З метою профілактики дирофіляріозу в неблагополучних регіонах препарат НексГард СПЕКТРА застосовують у весняно-літньо-осінній період щомісячно, починаючи за місяць до початку льоту </w:t>
      </w:r>
      <w:r w:rsidR="00BC08CC">
        <w:rPr>
          <w:rStyle w:val="cs5efed22f9"/>
          <w:snapToGrid w:val="0"/>
        </w:rPr>
        <w:t xml:space="preserve">переносників </w:t>
      </w:r>
      <w:r>
        <w:rPr>
          <w:rStyle w:val="cs5efed22f9"/>
          <w:snapToGrid w:val="0"/>
        </w:rPr>
        <w:t xml:space="preserve">збудника - москітів і комарів, і закінчують не раніше ніж через місяць після завершення їх льоту. </w:t>
      </w:r>
    </w:p>
    <w:p w14:paraId="50778438" w14:textId="77777777" w:rsidR="00B37F35" w:rsidRDefault="00B37F35" w:rsidP="00FC19B4">
      <w:pPr>
        <w:pStyle w:val="cs242d954b"/>
        <w:rPr>
          <w:snapToGrid w:val="0"/>
        </w:rPr>
      </w:pPr>
      <w:r>
        <w:rPr>
          <w:rStyle w:val="cs5efed22f9"/>
          <w:snapToGrid w:val="0"/>
        </w:rPr>
        <w:lastRenderedPageBreak/>
        <w:t xml:space="preserve">Якщо тварині застосовували інший препарат, який захищає від дирофілярій, перше застосування препарату НексГард СПЕКТРА необхідно починати через 1 місяць після останньої обробки попереднім препаратом. </w:t>
      </w:r>
    </w:p>
    <w:p w14:paraId="14184405" w14:textId="77777777" w:rsidR="002A2235" w:rsidRDefault="00B37F35" w:rsidP="00FC19B4">
      <w:pPr>
        <w:pStyle w:val="cs242d954b"/>
        <w:rPr>
          <w:rStyle w:val="cs5efed22f9"/>
          <w:snapToGrid w:val="0"/>
        </w:rPr>
      </w:pPr>
      <w:r>
        <w:rPr>
          <w:rStyle w:val="cs5efed22f9"/>
          <w:snapToGrid w:val="0"/>
        </w:rPr>
        <w:t>Перед обробкою препаратом для профілактики дирофіляріозу, рекомендують провести попереднє обстеження собак віком старших 8 місяців на присутність в організмі статевозрілих дирофілярій.</w:t>
      </w:r>
    </w:p>
    <w:p w14:paraId="01F627F8" w14:textId="77777777" w:rsidR="002A2235" w:rsidRDefault="002A2235" w:rsidP="00FC19B4">
      <w:pPr>
        <w:pStyle w:val="cs242d954b"/>
        <w:rPr>
          <w:rStyle w:val="cs5efed22f4"/>
        </w:rPr>
      </w:pPr>
      <w:r>
        <w:rPr>
          <w:rStyle w:val="cs5efed22f4"/>
        </w:rPr>
        <w:t>При лікуванні демодекозу препарат застосовують щомісяця до отримання двох негативних зіскобів шкіри з різницею в один місяць. При більш тяжких випадках захворювання лікування препаратом може бути подовжено. Оскільки демодекоз є мульти-факторним захворюванням, рекомендується провести відповідне лікування інших наявних захворювань, якщо це є можливим.</w:t>
      </w:r>
    </w:p>
    <w:p w14:paraId="5B6818C1" w14:textId="77777777" w:rsidR="002A2235" w:rsidRPr="00740506" w:rsidRDefault="002A2235" w:rsidP="00FC19B4">
      <w:pPr>
        <w:pStyle w:val="Default"/>
        <w:ind w:firstLine="560"/>
        <w:jc w:val="both"/>
        <w:rPr>
          <w:szCs w:val="22"/>
        </w:rPr>
      </w:pPr>
      <w:r w:rsidRPr="00740506">
        <w:rPr>
          <w:szCs w:val="22"/>
        </w:rPr>
        <w:t xml:space="preserve">При лікуванні саркоптозу </w:t>
      </w:r>
      <w:r>
        <w:rPr>
          <w:szCs w:val="22"/>
        </w:rPr>
        <w:t>препарат застосовують</w:t>
      </w:r>
      <w:r w:rsidRPr="00740506">
        <w:rPr>
          <w:szCs w:val="22"/>
        </w:rPr>
        <w:t xml:space="preserve"> раз на місяць протягом двох місяців. Подальше </w:t>
      </w:r>
      <w:r>
        <w:rPr>
          <w:szCs w:val="22"/>
        </w:rPr>
        <w:t>використання</w:t>
      </w:r>
      <w:r w:rsidRPr="00740506">
        <w:rPr>
          <w:szCs w:val="22"/>
        </w:rPr>
        <w:t xml:space="preserve"> препарату має базуватися на клінічній оцінці та результатах шкірних </w:t>
      </w:r>
      <w:r w:rsidRPr="00751C1B">
        <w:rPr>
          <w:szCs w:val="22"/>
        </w:rPr>
        <w:t>зіскобів</w:t>
      </w:r>
      <w:r w:rsidRPr="00740506">
        <w:rPr>
          <w:szCs w:val="22"/>
        </w:rPr>
        <w:t>.</w:t>
      </w:r>
    </w:p>
    <w:p w14:paraId="438A7EC7" w14:textId="77777777" w:rsidR="002A2235" w:rsidRDefault="002A2235" w:rsidP="00FC19B4">
      <w:pPr>
        <w:pStyle w:val="Default"/>
        <w:ind w:firstLine="560"/>
        <w:rPr>
          <w:sz w:val="22"/>
          <w:szCs w:val="22"/>
        </w:rPr>
      </w:pPr>
      <w:r w:rsidRPr="00740506">
        <w:t xml:space="preserve">Лікування </w:t>
      </w:r>
      <w:r w:rsidRPr="00F115E9">
        <w:t>отодектозу: одноразове застосування препарату</w:t>
      </w:r>
      <w:r>
        <w:t>.</w:t>
      </w:r>
    </w:p>
    <w:p w14:paraId="332E80E5" w14:textId="77777777" w:rsidR="002A2235" w:rsidRDefault="002A2235" w:rsidP="00FC19B4">
      <w:pPr>
        <w:pStyle w:val="cs242d954b"/>
        <w:rPr>
          <w:sz w:val="22"/>
          <w:szCs w:val="22"/>
        </w:rPr>
      </w:pPr>
      <w:r w:rsidRPr="00740506">
        <w:rPr>
          <w:rStyle w:val="cs5efed22f4"/>
        </w:rPr>
        <w:t>П</w:t>
      </w:r>
      <w:r>
        <w:rPr>
          <w:rStyle w:val="cs5efed22f4"/>
        </w:rPr>
        <w:t xml:space="preserve">рофілактика </w:t>
      </w:r>
      <w:r>
        <w:rPr>
          <w:rStyle w:val="cs5efed22f3"/>
        </w:rPr>
        <w:t>а</w:t>
      </w:r>
      <w:r w:rsidRPr="007C6E63">
        <w:rPr>
          <w:rStyle w:val="cs5efed22f3"/>
        </w:rPr>
        <w:t>нгіостронгільоз</w:t>
      </w:r>
      <w:r>
        <w:rPr>
          <w:rStyle w:val="cs5efed22f3"/>
        </w:rPr>
        <w:t>у</w:t>
      </w:r>
      <w:r w:rsidRPr="00740506">
        <w:rPr>
          <w:rStyle w:val="cs5efed22f3"/>
        </w:rPr>
        <w:t>:</w:t>
      </w:r>
      <w:r>
        <w:rPr>
          <w:rStyle w:val="cs5efed22f3"/>
        </w:rPr>
        <w:t xml:space="preserve"> </w:t>
      </w:r>
      <w:r>
        <w:rPr>
          <w:rStyle w:val="cs5efed22f4"/>
        </w:rPr>
        <w:t>в неблагополучних регіонах</w:t>
      </w:r>
      <w:r w:rsidRPr="00740506">
        <w:rPr>
          <w:rStyle w:val="cs5efed22f4"/>
        </w:rPr>
        <w:t xml:space="preserve"> щом</w:t>
      </w:r>
      <w:r>
        <w:rPr>
          <w:rStyle w:val="cs5efed22f4"/>
        </w:rPr>
        <w:t xml:space="preserve">ісячне застосування препарату НексГард СПЕКТРА знизить рівень інфікування серця і легень </w:t>
      </w:r>
      <w:r>
        <w:rPr>
          <w:rStyle w:val="cs5efed22f3"/>
        </w:rPr>
        <w:t>недозрілими (</w:t>
      </w:r>
      <w:r>
        <w:rPr>
          <w:rStyle w:val="cs5efed22f3"/>
          <w:lang w:val="en-US"/>
        </w:rPr>
        <w:t>L</w:t>
      </w:r>
      <w:r w:rsidRPr="00282AFE">
        <w:rPr>
          <w:rStyle w:val="cs5efed22f3"/>
        </w:rPr>
        <w:t xml:space="preserve">5) </w:t>
      </w:r>
      <w:r>
        <w:rPr>
          <w:rStyle w:val="cs5efed22f3"/>
        </w:rPr>
        <w:t xml:space="preserve">та дорослими </w:t>
      </w:r>
      <w:r w:rsidRPr="009E2C88">
        <w:rPr>
          <w:i/>
          <w:iCs/>
          <w:color w:val="000000"/>
        </w:rPr>
        <w:t>Angiostrongylus vasorum</w:t>
      </w:r>
      <w:r>
        <w:rPr>
          <w:i/>
          <w:iCs/>
          <w:color w:val="000000"/>
        </w:rPr>
        <w:t>.</w:t>
      </w:r>
    </w:p>
    <w:p w14:paraId="1A139A8D" w14:textId="77777777" w:rsidR="002A2235" w:rsidRDefault="002A2235" w:rsidP="00FC19B4">
      <w:pPr>
        <w:pStyle w:val="Default"/>
        <w:ind w:firstLine="560"/>
        <w:jc w:val="both"/>
        <w:rPr>
          <w:i/>
          <w:iCs/>
          <w:szCs w:val="22"/>
        </w:rPr>
      </w:pPr>
      <w:r w:rsidRPr="00740506">
        <w:rPr>
          <w:szCs w:val="22"/>
        </w:rPr>
        <w:t xml:space="preserve">Щомісячне використання препарату запобігає розвитку інфекції спричиненої дорослими нематодами </w:t>
      </w:r>
      <w:r w:rsidRPr="00740506">
        <w:rPr>
          <w:i/>
          <w:iCs/>
          <w:szCs w:val="22"/>
        </w:rPr>
        <w:t>Thelazia callipaeda.</w:t>
      </w:r>
    </w:p>
    <w:p w14:paraId="7D1CC007" w14:textId="77777777" w:rsidR="00B37F35" w:rsidRDefault="00B37F35" w:rsidP="00FC19B4">
      <w:pPr>
        <w:pStyle w:val="cs242d954b"/>
        <w:rPr>
          <w:snapToGrid w:val="0"/>
        </w:rPr>
      </w:pPr>
      <w:r>
        <w:rPr>
          <w:rStyle w:val="cs5efed22f9"/>
          <w:snapToGrid w:val="0"/>
        </w:rPr>
        <w:t>Не допускається розламування таблеток.</w:t>
      </w:r>
    </w:p>
    <w:p w14:paraId="52FFBE35" w14:textId="77777777" w:rsidR="00B37F35" w:rsidRDefault="00B37F35" w:rsidP="00FC19B4">
      <w:pPr>
        <w:pStyle w:val="cs242d954b"/>
        <w:rPr>
          <w:snapToGrid w:val="0"/>
        </w:rPr>
      </w:pPr>
      <w:r>
        <w:rPr>
          <w:rStyle w:val="cs5efed22f9"/>
          <w:snapToGrid w:val="0"/>
        </w:rPr>
        <w:t xml:space="preserve">НексГард СПЕКТРА має приємний аромат і смак і, як правило, добре поїдається собаками, у протилежному випадку, препарат згодовують з кормом. Необхідно переконатися, що собака повністю проковтнула необхідну дозу препарату. </w:t>
      </w:r>
    </w:p>
    <w:p w14:paraId="3830E639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5.9 Передозування (симптоми, невідкладні заходи, антидоти)</w:t>
      </w:r>
    </w:p>
    <w:p w14:paraId="46FCF2EC" w14:textId="77777777" w:rsidR="00B37F35" w:rsidRDefault="00B37F35" w:rsidP="00FC19B4">
      <w:pPr>
        <w:widowControl w:val="0"/>
        <w:ind w:right="-36" w:firstLine="560"/>
        <w:jc w:val="both"/>
        <w:rPr>
          <w:rStyle w:val="cs242d954b3"/>
        </w:rPr>
      </w:pPr>
      <w:r>
        <w:rPr>
          <w:rStyle w:val="cs5efed22f10"/>
          <w:snapToGrid w:val="0"/>
        </w:rPr>
        <w:t xml:space="preserve">При застосуванні препарату здоровим собакам віком старше 8 тижнів у дозі в 5 разів вище від максимально рекомендованої, 6 разів поспіль жодних  симптомів передозування не спостерігається. </w:t>
      </w:r>
    </w:p>
    <w:p w14:paraId="710015E2" w14:textId="77777777" w:rsidR="00B37F35" w:rsidRDefault="00B37F35" w:rsidP="00FC19B4">
      <w:pPr>
        <w:pStyle w:val="cs3266721a"/>
        <w:ind w:right="-36"/>
      </w:pPr>
      <w:r>
        <w:rPr>
          <w:rStyle w:val="cs5efed22f10"/>
          <w:snapToGrid w:val="0"/>
        </w:rPr>
        <w:t>При значному передозуванні у деяких собак спо</w:t>
      </w:r>
      <w:r w:rsidR="00E122A1">
        <w:rPr>
          <w:rStyle w:val="cs5efed22f10"/>
          <w:snapToGrid w:val="0"/>
        </w:rPr>
        <w:t>с</w:t>
      </w:r>
      <w:r>
        <w:rPr>
          <w:rStyle w:val="cs5efed22f10"/>
          <w:snapToGrid w:val="0"/>
        </w:rPr>
        <w:t>терігали пригнічений стан, слиновиділення, тремтіння, хитка хода. Ці симптоми проходять самостійно впродовж доби і не потребують застосування лікарських засобів.</w:t>
      </w:r>
    </w:p>
    <w:p w14:paraId="2B546A40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 w:rsidRPr="00E122A1">
        <w:rPr>
          <w:b/>
          <w:snapToGrid w:val="0"/>
          <w:sz w:val="24"/>
          <w:szCs w:val="24"/>
          <w:lang w:val="ru-RU"/>
        </w:rPr>
        <w:t>5.</w:t>
      </w:r>
      <w:r>
        <w:rPr>
          <w:b/>
          <w:snapToGrid w:val="0"/>
          <w:sz w:val="24"/>
          <w:szCs w:val="24"/>
        </w:rPr>
        <w:t>10</w:t>
      </w:r>
      <w:r w:rsidRPr="00E122A1">
        <w:rPr>
          <w:b/>
          <w:snapToGrid w:val="0"/>
          <w:sz w:val="24"/>
          <w:szCs w:val="24"/>
          <w:lang w:val="ru-RU"/>
        </w:rPr>
        <w:t xml:space="preserve"> </w:t>
      </w:r>
      <w:r>
        <w:rPr>
          <w:b/>
          <w:snapToGrid w:val="0"/>
          <w:sz w:val="24"/>
          <w:szCs w:val="24"/>
          <w:lang w:val="ru-RU"/>
        </w:rPr>
        <w:t>Спеціальні</w:t>
      </w:r>
      <w:r w:rsidRPr="00E122A1">
        <w:rPr>
          <w:b/>
          <w:snapToGrid w:val="0"/>
          <w:sz w:val="24"/>
          <w:szCs w:val="24"/>
          <w:lang w:val="ru-RU"/>
        </w:rPr>
        <w:t xml:space="preserve"> </w:t>
      </w:r>
      <w:r>
        <w:rPr>
          <w:b/>
          <w:snapToGrid w:val="0"/>
          <w:sz w:val="24"/>
          <w:szCs w:val="24"/>
          <w:lang w:val="ru-RU"/>
        </w:rPr>
        <w:t>застереження</w:t>
      </w:r>
    </w:p>
    <w:p w14:paraId="607CE97F" w14:textId="77777777" w:rsidR="00B37F35" w:rsidRDefault="00B37F35" w:rsidP="00FC19B4">
      <w:pPr>
        <w:widowControl w:val="0"/>
        <w:ind w:right="-36" w:firstLine="560"/>
        <w:jc w:val="both"/>
        <w:rPr>
          <w:rStyle w:val="cs242d954b4"/>
        </w:rPr>
      </w:pPr>
      <w:r>
        <w:rPr>
          <w:rStyle w:val="cs5efed22f11"/>
          <w:snapToGrid w:val="0"/>
        </w:rPr>
        <w:t>При частому і багаторазовому використанні паразитоцидів одного класу у паразитів виникає резистентність до препаратів цього класу. Необхідність застосування препарату НексГард СПЕКТРА повинна ґрунтуватися на оцінці кожного конкретного випадку і на місцевій епізоотичній ситуації з метою обмеження  можливості виникнення резистентності до препарату.</w:t>
      </w:r>
    </w:p>
    <w:p w14:paraId="33169B95" w14:textId="77777777" w:rsidR="00B37F35" w:rsidRDefault="00B37F35" w:rsidP="00FC19B4">
      <w:pPr>
        <w:pStyle w:val="cs242d954b"/>
      </w:pPr>
      <w:r>
        <w:rPr>
          <w:rStyle w:val="cs5efed22f11"/>
          <w:snapToGrid w:val="0"/>
        </w:rPr>
        <w:t>Підтримка ефективності макроциклічних лактонів має вирішальне значення для контролю дирофіляріозу. З метою уникнення ризику виникнення резистентності, рекомендують перевіряти собак на присутність циркулюючих антигенів і мікрофілярій у крові на початку кожного сезону профілактичного лікування. Тільки при негативних результатах за цими показниками тваринам можна застосовувати препарат.</w:t>
      </w:r>
    </w:p>
    <w:p w14:paraId="055B72EE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5.11 Період виведення (каренція)</w:t>
      </w:r>
    </w:p>
    <w:p w14:paraId="2054D919" w14:textId="77777777" w:rsidR="00B37F35" w:rsidRDefault="00B37F35" w:rsidP="00FC19B4">
      <w:pPr>
        <w:widowControl w:val="0"/>
        <w:ind w:right="454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Для непродуктивних тварин період виведення не визначають.</w:t>
      </w:r>
    </w:p>
    <w:p w14:paraId="7219563E" w14:textId="77777777" w:rsidR="00B37F35" w:rsidRDefault="00B37F35" w:rsidP="00FC19B4">
      <w:pPr>
        <w:ind w:right="454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5.12 Спеціальні застереження для осіб і обслуговуючого персоналу</w:t>
      </w:r>
    </w:p>
    <w:p w14:paraId="510E7146" w14:textId="77777777" w:rsidR="00E122A1" w:rsidRPr="00E52E2A" w:rsidRDefault="00B37F35" w:rsidP="00FC19B4">
      <w:pPr>
        <w:ind w:right="-36" w:firstLine="567"/>
        <w:jc w:val="both"/>
        <w:rPr>
          <w:sz w:val="24"/>
          <w:szCs w:val="24"/>
        </w:rPr>
      </w:pPr>
      <w:r w:rsidRPr="00E52E2A">
        <w:rPr>
          <w:sz w:val="24"/>
          <w:szCs w:val="24"/>
        </w:rPr>
        <w:t>При роботі з препаратом необхідно дотримуватись загальних правил гігієни та техніки безпеки, прийнятих при роботі з ветеринарними препаратами.</w:t>
      </w:r>
    </w:p>
    <w:p w14:paraId="321C61DF" w14:textId="77777777" w:rsidR="00E122A1" w:rsidRPr="00E52E2A" w:rsidRDefault="00B37F35" w:rsidP="00FC19B4">
      <w:pPr>
        <w:ind w:right="-36" w:firstLine="567"/>
        <w:jc w:val="both"/>
        <w:rPr>
          <w:sz w:val="24"/>
          <w:szCs w:val="24"/>
        </w:rPr>
      </w:pPr>
      <w:r w:rsidRPr="00E52E2A">
        <w:rPr>
          <w:sz w:val="24"/>
          <w:szCs w:val="24"/>
        </w:rPr>
        <w:t>Під час роботи з препаратом не можна курити, пити і приймати їжу. Після роботи з препаратом необхідно вимити руки з милом.</w:t>
      </w:r>
    </w:p>
    <w:p w14:paraId="05E380E1" w14:textId="77777777" w:rsidR="00E122A1" w:rsidRPr="00E52E2A" w:rsidRDefault="00B37F35" w:rsidP="00FC19B4">
      <w:pPr>
        <w:ind w:right="-36" w:firstLine="567"/>
        <w:jc w:val="both"/>
        <w:rPr>
          <w:sz w:val="24"/>
          <w:szCs w:val="24"/>
        </w:rPr>
      </w:pPr>
      <w:r w:rsidRPr="00E52E2A">
        <w:rPr>
          <w:sz w:val="24"/>
          <w:szCs w:val="24"/>
        </w:rPr>
        <w:t>Для запобігання доступу дітей до ветеринарного препарату рекомендується діставати по одній таблетці з блістера та одразу ховати блістер в упаковку.</w:t>
      </w:r>
    </w:p>
    <w:p w14:paraId="03D3FB8D" w14:textId="77777777" w:rsidR="00B37F35" w:rsidRDefault="00B37F35" w:rsidP="00FC19B4">
      <w:pPr>
        <w:ind w:right="-36" w:firstLine="567"/>
        <w:jc w:val="both"/>
        <w:rPr>
          <w:sz w:val="24"/>
          <w:szCs w:val="24"/>
        </w:rPr>
      </w:pPr>
      <w:r w:rsidRPr="00E52E2A">
        <w:rPr>
          <w:sz w:val="24"/>
          <w:szCs w:val="24"/>
        </w:rPr>
        <w:t>Людям із гіперчутливістю до компонентів препарату необхідно уникати прямого контакту з препаратом. У випадку виникнення алергічних реакцій або при випадковому попаданні препарату в організм людини необхідно негайно звернутися</w:t>
      </w:r>
      <w:r>
        <w:rPr>
          <w:sz w:val="24"/>
          <w:szCs w:val="24"/>
        </w:rPr>
        <w:t xml:space="preserve"> до лікаря (при собі мати етикетку або листівку-вкладку на препарат).</w:t>
      </w:r>
    </w:p>
    <w:p w14:paraId="76661275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lastRenderedPageBreak/>
        <w:t>6. Фармацевтичні особливості</w:t>
      </w:r>
    </w:p>
    <w:p w14:paraId="44DF0239" w14:textId="77777777" w:rsidR="00B37F35" w:rsidRDefault="00B37F35" w:rsidP="00FC19B4">
      <w:pPr>
        <w:pStyle w:val="31"/>
        <w:ind w:right="454" w:firstLine="567"/>
        <w:rPr>
          <w:b/>
          <w:snapToGrid/>
          <w:sz w:val="24"/>
          <w:szCs w:val="24"/>
        </w:rPr>
      </w:pPr>
      <w:r>
        <w:rPr>
          <w:b/>
          <w:sz w:val="24"/>
          <w:szCs w:val="24"/>
        </w:rPr>
        <w:t>6.1 Форми несумісності (основні)</w:t>
      </w:r>
    </w:p>
    <w:p w14:paraId="3A6517F4" w14:textId="77777777" w:rsidR="00B37F35" w:rsidRDefault="00B37F35" w:rsidP="00FC19B4">
      <w:pPr>
        <w:pStyle w:val="31"/>
        <w:ind w:right="454" w:firstLine="567"/>
        <w:rPr>
          <w:sz w:val="24"/>
          <w:szCs w:val="24"/>
        </w:rPr>
      </w:pPr>
      <w:r>
        <w:rPr>
          <w:rStyle w:val="cs5efed22f12"/>
        </w:rPr>
        <w:t>Не відомі.</w:t>
      </w:r>
    </w:p>
    <w:p w14:paraId="5354BDE9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6.2 Термін придатності</w:t>
      </w:r>
    </w:p>
    <w:p w14:paraId="75067E6A" w14:textId="57922BB9" w:rsidR="00B37F35" w:rsidRDefault="00D76F2C" w:rsidP="00FC19B4">
      <w:pPr>
        <w:widowControl w:val="0"/>
        <w:ind w:right="454" w:firstLine="567"/>
        <w:jc w:val="both"/>
        <w:rPr>
          <w:snapToGrid w:val="0"/>
          <w:sz w:val="24"/>
          <w:szCs w:val="24"/>
        </w:rPr>
      </w:pPr>
      <w:bookmarkStart w:id="8" w:name="_Hlk164940643"/>
      <w:r>
        <w:rPr>
          <w:rStyle w:val="cs5efed22f13"/>
          <w:snapToGrid w:val="0"/>
        </w:rPr>
        <w:t>30 місяців</w:t>
      </w:r>
      <w:r w:rsidR="00B37F35">
        <w:rPr>
          <w:rStyle w:val="cs5efed22f13"/>
          <w:snapToGrid w:val="0"/>
        </w:rPr>
        <w:t>.</w:t>
      </w:r>
      <w:bookmarkEnd w:id="8"/>
    </w:p>
    <w:p w14:paraId="152CA27E" w14:textId="77777777" w:rsidR="00B37F35" w:rsidRDefault="00B37F35" w:rsidP="00FC19B4">
      <w:pPr>
        <w:widowControl w:val="0"/>
        <w:ind w:right="454" w:firstLine="567"/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6.3 Особливі заходи зберігання</w:t>
      </w:r>
    </w:p>
    <w:p w14:paraId="6C628A85" w14:textId="77777777" w:rsidR="00B37F35" w:rsidRDefault="00B37F35" w:rsidP="00FC19B4">
      <w:pPr>
        <w:widowControl w:val="0"/>
        <w:ind w:right="-36" w:firstLine="560"/>
        <w:jc w:val="both"/>
        <w:rPr>
          <w:rStyle w:val="cs242d954b5"/>
        </w:rPr>
      </w:pPr>
      <w:r>
        <w:rPr>
          <w:rStyle w:val="cs5efed22f14"/>
        </w:rPr>
        <w:t xml:space="preserve">Зберігати препарат в оригінальній упаковці у сухому, захищеному від світла та недоступному для дітей і тварин місці, за температури від 0 до 30 </w:t>
      </w:r>
      <w:r w:rsidRPr="00E122A1">
        <w:rPr>
          <w:rStyle w:val="cs76fc46a01"/>
          <w:sz w:val="24"/>
          <w:szCs w:val="24"/>
          <w:vertAlign w:val="superscript"/>
        </w:rPr>
        <w:t>0</w:t>
      </w:r>
      <w:r>
        <w:rPr>
          <w:rStyle w:val="cs5efed22f14"/>
        </w:rPr>
        <w:t>С.</w:t>
      </w:r>
    </w:p>
    <w:p w14:paraId="1B690CDA" w14:textId="77777777" w:rsidR="00B37F35" w:rsidRDefault="00B37F35" w:rsidP="00FC19B4">
      <w:pPr>
        <w:pStyle w:val="cs95e872d0"/>
        <w:ind w:firstLine="567"/>
        <w:rPr>
          <w:b/>
          <w:snapToGrid w:val="0"/>
        </w:rPr>
      </w:pPr>
      <w:r>
        <w:rPr>
          <w:b/>
          <w:snapToGrid w:val="0"/>
        </w:rPr>
        <w:t>6.4 Природа і склад контейнера первинного пакування</w:t>
      </w:r>
    </w:p>
    <w:p w14:paraId="281EB67A" w14:textId="205128CA" w:rsidR="00B37F35" w:rsidRDefault="00B37F35" w:rsidP="00FC19B4">
      <w:pPr>
        <w:widowControl w:val="0"/>
        <w:ind w:right="-36" w:firstLine="560"/>
        <w:jc w:val="both"/>
        <w:rPr>
          <w:rStyle w:val="cs242d954b6"/>
        </w:rPr>
      </w:pPr>
      <w:r>
        <w:rPr>
          <w:rStyle w:val="cs5efed22f15"/>
          <w:snapToGrid w:val="0"/>
        </w:rPr>
        <w:t xml:space="preserve">НексГард СПЕКТРА випускають у п'яти дозуваннях: </w:t>
      </w:r>
      <w:bookmarkStart w:id="9" w:name="_Hlk164940126"/>
      <w:r w:rsidR="00FA76F2" w:rsidRPr="00FA76F2">
        <w:rPr>
          <w:rStyle w:val="cs5efed22f15"/>
          <w:snapToGrid w:val="0"/>
        </w:rPr>
        <w:t>жувальн</w:t>
      </w:r>
      <w:r w:rsidR="00FA76F2">
        <w:rPr>
          <w:rStyle w:val="cs5efed22f15"/>
          <w:snapToGrid w:val="0"/>
        </w:rPr>
        <w:t>і</w:t>
      </w:r>
      <w:bookmarkEnd w:id="9"/>
      <w:r w:rsidR="00FA76F2" w:rsidRPr="00FA76F2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 xml:space="preserve">таблетки по 0,5, 1, 2, 4 та 8 г, розфасовані по 1, 3 або 6 </w:t>
      </w:r>
      <w:r w:rsidR="00AB6E1F" w:rsidRPr="00AB6E1F">
        <w:rPr>
          <w:rStyle w:val="cs5efed22f15"/>
          <w:snapToGrid w:val="0"/>
        </w:rPr>
        <w:t>жувальн</w:t>
      </w:r>
      <w:r w:rsidR="00AB6E1F">
        <w:rPr>
          <w:rStyle w:val="cs5efed22f15"/>
          <w:snapToGrid w:val="0"/>
        </w:rPr>
        <w:t>их</w:t>
      </w:r>
      <w:r w:rsidR="00AB6E1F" w:rsidRPr="00AB6E1F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 xml:space="preserve">таблеток у блістері із полівінілхлориду і алюмінієвої фольги на паперовій основі (Aclar/PVC/Alu), які запаковані поштучно у картонні коробки: </w:t>
      </w:r>
    </w:p>
    <w:p w14:paraId="3D4B3166" w14:textId="6D2945D1" w:rsidR="00B37F35" w:rsidRDefault="00B37F35" w:rsidP="00FC19B4">
      <w:pPr>
        <w:pStyle w:val="cs242d954b"/>
        <w:ind w:right="-80"/>
      </w:pPr>
      <w:r>
        <w:rPr>
          <w:rStyle w:val="cs5efed22f15"/>
          <w:snapToGrid w:val="0"/>
        </w:rPr>
        <w:t>НексГард СПЕКТРА по 0,5 г (9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>мг/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 xml:space="preserve">2мг жувальні таблетки для собак масою тіла від </w:t>
      </w:r>
      <w:r w:rsidR="00D76F2C">
        <w:rPr>
          <w:rStyle w:val="cs5efed22f15"/>
          <w:snapToGrid w:val="0"/>
        </w:rPr>
        <w:t>1,35</w:t>
      </w:r>
      <w:r>
        <w:rPr>
          <w:rStyle w:val="cs5efed22f15"/>
          <w:snapToGrid w:val="0"/>
        </w:rPr>
        <w:t xml:space="preserve"> до 3,5 кг);</w:t>
      </w:r>
    </w:p>
    <w:p w14:paraId="08B2F00C" w14:textId="536F8CCE" w:rsidR="00E122A1" w:rsidRDefault="00B37F35" w:rsidP="00FC19B4">
      <w:pPr>
        <w:pStyle w:val="cs242d954b"/>
        <w:ind w:right="-36"/>
        <w:rPr>
          <w:rStyle w:val="cs5efed22f15"/>
          <w:snapToGrid w:val="0"/>
        </w:rPr>
      </w:pPr>
      <w:r>
        <w:rPr>
          <w:rStyle w:val="cs5efed22f15"/>
          <w:snapToGrid w:val="0"/>
        </w:rPr>
        <w:t>НексГард СПЕКТРА по 1 г (19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>мг/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 xml:space="preserve">4мг жувальні таблетки для собак масою тіла від 3,5 до </w:t>
      </w:r>
    </w:p>
    <w:p w14:paraId="53AFB59B" w14:textId="77777777" w:rsidR="00B37F35" w:rsidRDefault="00B37F35" w:rsidP="00FC19B4">
      <w:pPr>
        <w:pStyle w:val="cs242d954b"/>
        <w:ind w:right="-36" w:firstLine="0"/>
        <w:rPr>
          <w:snapToGrid w:val="0"/>
        </w:rPr>
      </w:pPr>
      <w:r>
        <w:rPr>
          <w:rStyle w:val="cs5efed22f15"/>
          <w:snapToGrid w:val="0"/>
        </w:rPr>
        <w:t>7,5 кг);</w:t>
      </w:r>
    </w:p>
    <w:p w14:paraId="16D6CC75" w14:textId="1E9E1AEE" w:rsidR="00B37F35" w:rsidRDefault="00B37F35" w:rsidP="00FC19B4">
      <w:pPr>
        <w:pStyle w:val="cs242d954b"/>
        <w:ind w:right="-80"/>
        <w:rPr>
          <w:snapToGrid w:val="0"/>
        </w:rPr>
      </w:pPr>
      <w:r>
        <w:rPr>
          <w:rStyle w:val="cs5efed22f15"/>
          <w:snapToGrid w:val="0"/>
        </w:rPr>
        <w:t>НексГард СПЕКТРА по 2 г (38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>мг/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>8мг жувальні таблетки для собак масою тіла від 7,5 до 15 кг);</w:t>
      </w:r>
    </w:p>
    <w:p w14:paraId="496E737A" w14:textId="2B6AE4C4" w:rsidR="00B37F35" w:rsidRDefault="00B37F35" w:rsidP="00FC19B4">
      <w:pPr>
        <w:pStyle w:val="cs242d954b"/>
        <w:ind w:right="-80"/>
        <w:rPr>
          <w:snapToGrid w:val="0"/>
        </w:rPr>
      </w:pPr>
      <w:r>
        <w:rPr>
          <w:rStyle w:val="cs5efed22f15"/>
          <w:snapToGrid w:val="0"/>
        </w:rPr>
        <w:t>НексГард СПЕКТРА по 4 г (75</w:t>
      </w:r>
      <w:r w:rsidR="00D76F2C">
        <w:rPr>
          <w:rStyle w:val="cs5efed22f15"/>
          <w:snapToGrid w:val="0"/>
        </w:rPr>
        <w:t xml:space="preserve"> мг</w:t>
      </w:r>
      <w:r>
        <w:rPr>
          <w:rStyle w:val="cs5efed22f15"/>
          <w:snapToGrid w:val="0"/>
        </w:rPr>
        <w:t>/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>15мг жувальні таблетки для собак масою тіла від 15 до 30 кг);</w:t>
      </w:r>
    </w:p>
    <w:p w14:paraId="2D50FA65" w14:textId="354CF058" w:rsidR="00E122A1" w:rsidRDefault="00B37F35" w:rsidP="00FC19B4">
      <w:pPr>
        <w:pStyle w:val="cs242d954b"/>
        <w:rPr>
          <w:rStyle w:val="cs5efed22f15"/>
          <w:snapToGrid w:val="0"/>
        </w:rPr>
      </w:pPr>
      <w:r>
        <w:rPr>
          <w:rStyle w:val="cs5efed22f15"/>
          <w:snapToGrid w:val="0"/>
        </w:rPr>
        <w:t>НексГард СПЕКТРА по 8 г (150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>мг/</w:t>
      </w:r>
      <w:r w:rsidR="00D76F2C">
        <w:rPr>
          <w:rStyle w:val="cs5efed22f15"/>
          <w:snapToGrid w:val="0"/>
        </w:rPr>
        <w:t xml:space="preserve"> </w:t>
      </w:r>
      <w:r>
        <w:rPr>
          <w:rStyle w:val="cs5efed22f15"/>
          <w:snapToGrid w:val="0"/>
        </w:rPr>
        <w:t xml:space="preserve">30мг жувальні таблетки для собак масою тіла від 30 до </w:t>
      </w:r>
    </w:p>
    <w:p w14:paraId="16A2BDD3" w14:textId="77777777" w:rsidR="00B37F35" w:rsidRDefault="00B37F35" w:rsidP="00FC19B4">
      <w:pPr>
        <w:pStyle w:val="cs242d954b"/>
        <w:ind w:firstLine="0"/>
        <w:rPr>
          <w:snapToGrid w:val="0"/>
        </w:rPr>
      </w:pPr>
      <w:r>
        <w:rPr>
          <w:rStyle w:val="cs5efed22f15"/>
          <w:snapToGrid w:val="0"/>
        </w:rPr>
        <w:t>60 кг).</w:t>
      </w:r>
    </w:p>
    <w:p w14:paraId="7C5905EA" w14:textId="77777777" w:rsidR="00B37F35" w:rsidRDefault="00B37F35" w:rsidP="00FC19B4">
      <w:pPr>
        <w:pStyle w:val="31"/>
        <w:ind w:right="454" w:firstLine="567"/>
        <w:rPr>
          <w:b/>
          <w:snapToGrid/>
          <w:sz w:val="24"/>
          <w:szCs w:val="24"/>
        </w:rPr>
      </w:pPr>
      <w:r>
        <w:rPr>
          <w:b/>
          <w:sz w:val="24"/>
          <w:szCs w:val="24"/>
        </w:rPr>
        <w:t>6.5 Особливі заходи безпеки при поводженні з невикористаним препаратом або із його залишками</w:t>
      </w:r>
    </w:p>
    <w:p w14:paraId="7E44E009" w14:textId="77777777" w:rsidR="00B37F35" w:rsidRPr="00E122A1" w:rsidRDefault="00B37F35" w:rsidP="00FC19B4">
      <w:pPr>
        <w:pStyle w:val="31"/>
        <w:ind w:right="454" w:firstLine="567"/>
        <w:rPr>
          <w:sz w:val="24"/>
          <w:szCs w:val="24"/>
          <w:lang w:val="ru-RU"/>
        </w:rPr>
      </w:pPr>
      <w:r>
        <w:rPr>
          <w:rStyle w:val="cs5efed22f16"/>
        </w:rPr>
        <w:t xml:space="preserve">Невикористані залишки препарату утилізують відповідно до чинного законодавства. </w:t>
      </w:r>
    </w:p>
    <w:p w14:paraId="3353A731" w14:textId="77777777" w:rsidR="00B37F35" w:rsidRDefault="00B37F35" w:rsidP="00FC19B4">
      <w:pPr>
        <w:pStyle w:val="31"/>
        <w:ind w:right="454" w:firstLine="567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7. Назва і місце знаходження власника реєстраційного посвідчення</w:t>
      </w:r>
    </w:p>
    <w:tbl>
      <w:tblPr>
        <w:tblW w:w="10215" w:type="dxa"/>
        <w:tblLayout w:type="fixed"/>
        <w:tblLook w:val="04A0" w:firstRow="1" w:lastRow="0" w:firstColumn="1" w:lastColumn="0" w:noHBand="0" w:noVBand="1"/>
      </w:tblPr>
      <w:tblGrid>
        <w:gridCol w:w="5067"/>
        <w:gridCol w:w="5148"/>
      </w:tblGrid>
      <w:tr w:rsidR="00B37F35" w14:paraId="2CED73A7" w14:textId="77777777">
        <w:tc>
          <w:tcPr>
            <w:tcW w:w="5067" w:type="dxa"/>
            <w:hideMark/>
          </w:tcPr>
          <w:p w14:paraId="34F1E731" w14:textId="77777777" w:rsidR="002C6224" w:rsidRDefault="00FC19B4" w:rsidP="002C6224">
            <w:pPr>
              <w:ind w:left="567"/>
              <w:rPr>
                <w:sz w:val="24"/>
                <w:szCs w:val="24"/>
              </w:rPr>
            </w:pPr>
            <w:r w:rsidRPr="00FC19B4">
              <w:rPr>
                <w:sz w:val="24"/>
                <w:szCs w:val="24"/>
              </w:rPr>
              <w:t xml:space="preserve">Берінгер </w:t>
            </w:r>
            <w:r w:rsidR="007F1AF4">
              <w:rPr>
                <w:sz w:val="24"/>
                <w:szCs w:val="24"/>
              </w:rPr>
              <w:t xml:space="preserve">Інгельхайм Ветмедіка ГмбХ, 55216 м. Інгельхайм-на-Рейні, </w:t>
            </w:r>
          </w:p>
          <w:p w14:paraId="2B41C843" w14:textId="383DC66C" w:rsidR="00B37F35" w:rsidRPr="00E122A1" w:rsidRDefault="006E11A4" w:rsidP="002C6224">
            <w:pPr>
              <w:ind w:left="567"/>
              <w:rPr>
                <w:sz w:val="24"/>
                <w:szCs w:val="24"/>
                <w:lang w:val="ru-RU"/>
              </w:rPr>
            </w:pPr>
            <w:r w:rsidRPr="006E11A4">
              <w:rPr>
                <w:sz w:val="24"/>
                <w:szCs w:val="24"/>
              </w:rPr>
              <w:t>Бінгер штрассе, 173,</w:t>
            </w:r>
            <w:r w:rsidR="002C6224" w:rsidRPr="002C6224">
              <w:rPr>
                <w:sz w:val="24"/>
                <w:szCs w:val="24"/>
                <w:lang w:val="ru-RU"/>
              </w:rPr>
              <w:t xml:space="preserve"> </w:t>
            </w:r>
            <w:r w:rsidRPr="006E11A4">
              <w:rPr>
                <w:sz w:val="24"/>
                <w:szCs w:val="24"/>
              </w:rPr>
              <w:t>НІМЕЧЧИНА</w:t>
            </w:r>
            <w:r w:rsidR="007F1AF4">
              <w:rPr>
                <w:sz w:val="24"/>
                <w:szCs w:val="24"/>
              </w:rPr>
              <w:t>.</w:t>
            </w:r>
          </w:p>
        </w:tc>
        <w:tc>
          <w:tcPr>
            <w:tcW w:w="5148" w:type="dxa"/>
            <w:hideMark/>
          </w:tcPr>
          <w:p w14:paraId="15AC746E" w14:textId="77777777" w:rsidR="007F1AF4" w:rsidRPr="00E52E2A" w:rsidRDefault="007F1AF4" w:rsidP="00FC19B4">
            <w:pPr>
              <w:widowControl w:val="0"/>
              <w:tabs>
                <w:tab w:val="left" w:pos="10206"/>
              </w:tabs>
              <w:ind w:left="600"/>
              <w:jc w:val="both"/>
              <w:rPr>
                <w:sz w:val="24"/>
                <w:szCs w:val="24"/>
                <w:lang w:val="de-DE" w:eastAsia="ru-RU"/>
              </w:rPr>
            </w:pPr>
            <w:r w:rsidRPr="00E52E2A">
              <w:rPr>
                <w:sz w:val="24"/>
                <w:szCs w:val="24"/>
                <w:lang w:val="de-DE" w:eastAsia="ru-RU"/>
              </w:rPr>
              <w:t>Boehringer Ingelheim Vetmedica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E52E2A">
              <w:rPr>
                <w:sz w:val="24"/>
                <w:szCs w:val="24"/>
                <w:lang w:val="de-DE" w:eastAsia="ru-RU"/>
              </w:rPr>
              <w:t xml:space="preserve">GmbH, </w:t>
            </w:r>
          </w:p>
          <w:p w14:paraId="6F15E0F8" w14:textId="77777777" w:rsidR="002C6224" w:rsidRDefault="007F1AF4" w:rsidP="002C6224">
            <w:pPr>
              <w:ind w:left="600"/>
              <w:rPr>
                <w:sz w:val="24"/>
                <w:szCs w:val="24"/>
                <w:lang w:val="de-DE" w:eastAsia="ru-RU"/>
              </w:rPr>
            </w:pPr>
            <w:r w:rsidRPr="00E52E2A">
              <w:rPr>
                <w:sz w:val="24"/>
                <w:szCs w:val="24"/>
                <w:lang w:val="de-DE" w:eastAsia="ru-RU"/>
              </w:rPr>
              <w:t xml:space="preserve">55216 Ingelheim am Rhein, </w:t>
            </w:r>
          </w:p>
          <w:p w14:paraId="13FB5B62" w14:textId="3F3F00FE" w:rsidR="00B37F35" w:rsidRPr="00E52E2A" w:rsidRDefault="006E11A4" w:rsidP="002C6224">
            <w:pPr>
              <w:ind w:left="600"/>
              <w:rPr>
                <w:sz w:val="24"/>
                <w:szCs w:val="24"/>
                <w:lang w:val="de-DE"/>
              </w:rPr>
            </w:pPr>
            <w:r w:rsidRPr="006E11A4">
              <w:rPr>
                <w:sz w:val="24"/>
                <w:szCs w:val="24"/>
                <w:lang w:val="de-DE" w:eastAsia="ru-RU"/>
              </w:rPr>
              <w:t>Binger Strasse 173,</w:t>
            </w:r>
            <w:r w:rsidR="002C6224">
              <w:rPr>
                <w:sz w:val="24"/>
                <w:szCs w:val="24"/>
                <w:lang w:val="de-DE" w:eastAsia="ru-RU"/>
              </w:rPr>
              <w:t xml:space="preserve"> </w:t>
            </w:r>
            <w:r w:rsidRPr="006E11A4">
              <w:rPr>
                <w:sz w:val="24"/>
                <w:szCs w:val="24"/>
                <w:lang w:val="de-DE" w:eastAsia="ru-RU"/>
              </w:rPr>
              <w:t>GERMANY</w:t>
            </w:r>
            <w:r w:rsidR="007F1AF4" w:rsidRPr="00E52E2A">
              <w:rPr>
                <w:sz w:val="24"/>
                <w:szCs w:val="24"/>
                <w:lang w:val="de-DE" w:eastAsia="ru-RU"/>
              </w:rPr>
              <w:t>.</w:t>
            </w:r>
          </w:p>
        </w:tc>
      </w:tr>
    </w:tbl>
    <w:p w14:paraId="2C7A9839" w14:textId="4E645CBF" w:rsidR="00B37F35" w:rsidRDefault="00B37F35" w:rsidP="00FC19B4">
      <w:pPr>
        <w:ind w:right="454" w:firstLine="567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8. Назва і місце знаходження виробник</w:t>
      </w:r>
      <w:r w:rsidR="00E6645E">
        <w:rPr>
          <w:b/>
          <w:sz w:val="24"/>
          <w:szCs w:val="24"/>
        </w:rPr>
        <w:t>ів</w:t>
      </w:r>
    </w:p>
    <w:tbl>
      <w:tblPr>
        <w:tblW w:w="10215" w:type="dxa"/>
        <w:tblLayout w:type="fixed"/>
        <w:tblLook w:val="04A0" w:firstRow="1" w:lastRow="0" w:firstColumn="1" w:lastColumn="0" w:noHBand="0" w:noVBand="1"/>
      </w:tblPr>
      <w:tblGrid>
        <w:gridCol w:w="5067"/>
        <w:gridCol w:w="5148"/>
      </w:tblGrid>
      <w:tr w:rsidR="00B37F35" w14:paraId="3BF8D422" w14:textId="77777777">
        <w:tc>
          <w:tcPr>
            <w:tcW w:w="5067" w:type="dxa"/>
            <w:hideMark/>
          </w:tcPr>
          <w:p w14:paraId="762E9247" w14:textId="77777777" w:rsidR="00FC19B4" w:rsidRDefault="007F1AF4" w:rsidP="00FC19B4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Берінгер Інгельхайм</w:t>
            </w:r>
            <w:r w:rsidDel="000511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Енімал Хелс </w:t>
            </w:r>
          </w:p>
          <w:p w14:paraId="73AEAA3F" w14:textId="77777777" w:rsidR="00FC19B4" w:rsidRDefault="007F1AF4" w:rsidP="00FC19B4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Бразил Лтда., </w:t>
            </w:r>
          </w:p>
          <w:p w14:paraId="436BB9A0" w14:textId="77777777" w:rsidR="00A22EE1" w:rsidRDefault="007B0C77" w:rsidP="007B0C77">
            <w:pPr>
              <w:ind w:left="567"/>
              <w:rPr>
                <w:sz w:val="24"/>
                <w:szCs w:val="24"/>
              </w:rPr>
            </w:pPr>
            <w:bookmarkStart w:id="10" w:name="_Hlk135305463"/>
            <w:r w:rsidRPr="007B0C77">
              <w:rPr>
                <w:sz w:val="24"/>
                <w:szCs w:val="24"/>
              </w:rPr>
              <w:t xml:space="preserve">Авеніда Доутор Роберто Морейра, </w:t>
            </w:r>
          </w:p>
          <w:p w14:paraId="4B7D6408" w14:textId="37A155F7" w:rsidR="007B0C77" w:rsidRPr="007B0C77" w:rsidRDefault="007B0C77" w:rsidP="007B0C77">
            <w:pPr>
              <w:ind w:left="567"/>
              <w:rPr>
                <w:sz w:val="24"/>
                <w:szCs w:val="24"/>
              </w:rPr>
            </w:pPr>
            <w:r w:rsidRPr="007B0C77">
              <w:rPr>
                <w:sz w:val="24"/>
                <w:szCs w:val="24"/>
              </w:rPr>
              <w:t>№</w:t>
            </w:r>
            <w:r w:rsidR="00A22EE1" w:rsidRPr="00A22EE1">
              <w:rPr>
                <w:sz w:val="24"/>
                <w:szCs w:val="24"/>
                <w:lang w:val="ru-RU"/>
              </w:rPr>
              <w:t xml:space="preserve"> </w:t>
            </w:r>
            <w:r w:rsidRPr="007B0C77">
              <w:rPr>
                <w:sz w:val="24"/>
                <w:szCs w:val="24"/>
              </w:rPr>
              <w:t>5005</w:t>
            </w:r>
            <w:r w:rsidR="00A22EE1">
              <w:rPr>
                <w:sz w:val="24"/>
                <w:szCs w:val="24"/>
              </w:rPr>
              <w:t xml:space="preserve">, </w:t>
            </w:r>
            <w:r w:rsidRPr="007B0C77">
              <w:rPr>
                <w:sz w:val="24"/>
                <w:szCs w:val="24"/>
              </w:rPr>
              <w:t>Фазенда Сао Франциско, Реканту-дус-Пассарос, CEP: 13148-914,</w:t>
            </w:r>
          </w:p>
          <w:p w14:paraId="0EC627DA" w14:textId="696DE2C4" w:rsidR="00E122A1" w:rsidRDefault="007B0C77" w:rsidP="007B0C77">
            <w:pPr>
              <w:ind w:left="567"/>
              <w:rPr>
                <w:sz w:val="24"/>
                <w:szCs w:val="24"/>
              </w:rPr>
            </w:pPr>
            <w:r w:rsidRPr="007B0C77">
              <w:rPr>
                <w:sz w:val="24"/>
                <w:szCs w:val="24"/>
              </w:rPr>
              <w:t>Паулінія, Сан-Паулу, Бразилія.</w:t>
            </w:r>
            <w:bookmarkEnd w:id="10"/>
          </w:p>
          <w:p w14:paraId="62F39E80" w14:textId="77777777" w:rsidR="00FC19B4" w:rsidRDefault="00FC19B4" w:rsidP="00FC19B4">
            <w:pPr>
              <w:ind w:left="567"/>
              <w:rPr>
                <w:sz w:val="24"/>
                <w:szCs w:val="24"/>
              </w:rPr>
            </w:pPr>
          </w:p>
          <w:p w14:paraId="37147934" w14:textId="77777777" w:rsidR="00FC19B4" w:rsidRDefault="007F1AF4" w:rsidP="00FC19B4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Берінгер Інгельхайм</w:t>
            </w:r>
            <w:r w:rsidDel="000511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Енімал Хелс </w:t>
            </w:r>
          </w:p>
          <w:p w14:paraId="277A9E87" w14:textId="77777777" w:rsidR="00FC19B4" w:rsidRDefault="007F1AF4" w:rsidP="00FC19B4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Франс СКС,</w:t>
            </w:r>
          </w:p>
          <w:p w14:paraId="26206455" w14:textId="6E42532A" w:rsidR="00B37F35" w:rsidRPr="00E52E2A" w:rsidRDefault="00B37F35" w:rsidP="00FC19B4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шема дю Калке - 31</w:t>
            </w:r>
            <w:r w:rsidR="00305AE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 Тулуза</w:t>
            </w:r>
            <w:r w:rsidR="007F1AF4" w:rsidRPr="00E52E2A">
              <w:rPr>
                <w:sz w:val="24"/>
                <w:szCs w:val="24"/>
              </w:rPr>
              <w:t xml:space="preserve">, </w:t>
            </w:r>
            <w:r w:rsidR="007F1AF4">
              <w:rPr>
                <w:sz w:val="24"/>
                <w:szCs w:val="24"/>
              </w:rPr>
              <w:t>Франція.</w:t>
            </w:r>
          </w:p>
        </w:tc>
        <w:tc>
          <w:tcPr>
            <w:tcW w:w="5148" w:type="dxa"/>
            <w:hideMark/>
          </w:tcPr>
          <w:p w14:paraId="43B5C8B3" w14:textId="77777777" w:rsidR="00FC19B4" w:rsidRDefault="007F1AF4" w:rsidP="00FC19B4">
            <w:pPr>
              <w:ind w:left="600"/>
              <w:jc w:val="both"/>
              <w:rPr>
                <w:sz w:val="24"/>
                <w:szCs w:val="24"/>
              </w:rPr>
            </w:pPr>
            <w:r w:rsidRPr="00051140">
              <w:rPr>
                <w:sz w:val="24"/>
                <w:szCs w:val="24"/>
              </w:rPr>
              <w:t xml:space="preserve">Boehringer Ingelheim Animal Health </w:t>
            </w:r>
          </w:p>
          <w:p w14:paraId="2FE1613B" w14:textId="77777777" w:rsidR="00FC19B4" w:rsidRDefault="007F1AF4" w:rsidP="00FC19B4">
            <w:pPr>
              <w:ind w:left="600"/>
              <w:jc w:val="both"/>
              <w:rPr>
                <w:sz w:val="24"/>
                <w:szCs w:val="24"/>
              </w:rPr>
            </w:pPr>
            <w:r w:rsidRPr="00051140">
              <w:rPr>
                <w:sz w:val="24"/>
                <w:szCs w:val="24"/>
              </w:rPr>
              <w:t>do Brasil</w:t>
            </w:r>
            <w:r w:rsidR="00FC19B4" w:rsidRPr="00FC19B4">
              <w:rPr>
                <w:sz w:val="24"/>
                <w:szCs w:val="24"/>
                <w:lang w:val="pt-PT"/>
              </w:rPr>
              <w:t xml:space="preserve"> </w:t>
            </w:r>
            <w:r w:rsidRPr="00051140">
              <w:rPr>
                <w:sz w:val="24"/>
                <w:szCs w:val="24"/>
              </w:rPr>
              <w:t>Ltda.,</w:t>
            </w:r>
            <w:r w:rsidRPr="00051140" w:rsidDel="00051140">
              <w:rPr>
                <w:sz w:val="24"/>
                <w:szCs w:val="24"/>
              </w:rPr>
              <w:t xml:space="preserve"> </w:t>
            </w:r>
          </w:p>
          <w:p w14:paraId="474C688F" w14:textId="77777777" w:rsidR="007B0C77" w:rsidRPr="007B0C77" w:rsidRDefault="007B0C77" w:rsidP="007B0C77">
            <w:pPr>
              <w:ind w:left="600"/>
              <w:jc w:val="both"/>
              <w:rPr>
                <w:sz w:val="24"/>
                <w:szCs w:val="24"/>
              </w:rPr>
            </w:pPr>
            <w:r w:rsidRPr="007B0C77">
              <w:rPr>
                <w:sz w:val="24"/>
                <w:szCs w:val="24"/>
              </w:rPr>
              <w:t>Avenida  Doutor Roberto Moreira, No.5005</w:t>
            </w:r>
          </w:p>
          <w:p w14:paraId="595410E9" w14:textId="77777777" w:rsidR="007B0C77" w:rsidRPr="007B0C77" w:rsidRDefault="007B0C77" w:rsidP="007B0C77">
            <w:pPr>
              <w:ind w:left="600"/>
              <w:jc w:val="both"/>
              <w:rPr>
                <w:sz w:val="24"/>
                <w:szCs w:val="24"/>
              </w:rPr>
            </w:pPr>
            <w:r w:rsidRPr="007B0C77">
              <w:rPr>
                <w:sz w:val="24"/>
                <w:szCs w:val="24"/>
              </w:rPr>
              <w:t xml:space="preserve">Fazenda São Francisco, Recanto dos Pássaros, CEP: 13148-914, </w:t>
            </w:r>
          </w:p>
          <w:p w14:paraId="046C5524" w14:textId="74BE5024" w:rsidR="00E122A1" w:rsidRDefault="007B0C77" w:rsidP="00FC19B4">
            <w:pPr>
              <w:ind w:left="600"/>
              <w:rPr>
                <w:sz w:val="24"/>
                <w:szCs w:val="24"/>
              </w:rPr>
            </w:pPr>
            <w:r w:rsidRPr="007B0C77">
              <w:rPr>
                <w:sz w:val="24"/>
                <w:szCs w:val="24"/>
              </w:rPr>
              <w:t>Paulínia, São Paulo, Brasil</w:t>
            </w:r>
            <w:r w:rsidR="007F1AF4">
              <w:rPr>
                <w:sz w:val="24"/>
                <w:szCs w:val="24"/>
              </w:rPr>
              <w:t>.</w:t>
            </w:r>
            <w:r w:rsidR="00B37F35">
              <w:rPr>
                <w:sz w:val="24"/>
                <w:szCs w:val="24"/>
              </w:rPr>
              <w:t xml:space="preserve"> </w:t>
            </w:r>
          </w:p>
          <w:p w14:paraId="4B0B058B" w14:textId="77777777" w:rsidR="00E122A1" w:rsidRDefault="00E122A1" w:rsidP="00FC19B4">
            <w:pPr>
              <w:ind w:left="317" w:firstLine="425"/>
              <w:rPr>
                <w:sz w:val="24"/>
                <w:szCs w:val="24"/>
              </w:rPr>
            </w:pPr>
          </w:p>
          <w:p w14:paraId="00E07992" w14:textId="77777777" w:rsidR="00FC19B4" w:rsidRDefault="007F1AF4" w:rsidP="00FC19B4">
            <w:pPr>
              <w:ind w:left="600"/>
              <w:rPr>
                <w:sz w:val="24"/>
                <w:szCs w:val="24"/>
              </w:rPr>
            </w:pPr>
            <w:r w:rsidRPr="00051140">
              <w:rPr>
                <w:sz w:val="24"/>
                <w:szCs w:val="24"/>
              </w:rPr>
              <w:t>Boehringer Ingelheim Animal Health</w:t>
            </w:r>
            <w:r>
              <w:rPr>
                <w:sz w:val="24"/>
                <w:szCs w:val="24"/>
              </w:rPr>
              <w:t xml:space="preserve"> </w:t>
            </w:r>
          </w:p>
          <w:p w14:paraId="3EA481DF" w14:textId="77777777" w:rsidR="00FC19B4" w:rsidRDefault="007F1AF4" w:rsidP="00FC19B4">
            <w:pPr>
              <w:ind w:left="600"/>
              <w:rPr>
                <w:sz w:val="24"/>
                <w:szCs w:val="24"/>
              </w:rPr>
            </w:pPr>
            <w:r w:rsidRPr="00E52E2A">
              <w:rPr>
                <w:sz w:val="24"/>
                <w:szCs w:val="24"/>
                <w:lang w:val="fr-FR"/>
              </w:rPr>
              <w:t>France</w:t>
            </w:r>
            <w:r w:rsidRPr="00E52E2A">
              <w:rPr>
                <w:sz w:val="24"/>
                <w:szCs w:val="24"/>
              </w:rPr>
              <w:t xml:space="preserve"> </w:t>
            </w:r>
            <w:r w:rsidRPr="00E52E2A">
              <w:rPr>
                <w:sz w:val="24"/>
                <w:szCs w:val="24"/>
                <w:lang w:val="fr-FR"/>
              </w:rPr>
              <w:t>SCS</w:t>
            </w:r>
            <w:r>
              <w:rPr>
                <w:sz w:val="24"/>
                <w:szCs w:val="24"/>
              </w:rPr>
              <w:t>,</w:t>
            </w:r>
            <w:r w:rsidRPr="00E52E2A">
              <w:rPr>
                <w:sz w:val="24"/>
                <w:szCs w:val="24"/>
              </w:rPr>
              <w:t xml:space="preserve"> </w:t>
            </w:r>
          </w:p>
          <w:p w14:paraId="48172BD1" w14:textId="017D5551" w:rsidR="00B37F35" w:rsidRPr="00E52E2A" w:rsidRDefault="00B37F35" w:rsidP="00FC19B4">
            <w:pPr>
              <w:ind w:left="60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</w:rPr>
              <w:t>4 chemin du Calquet - 31</w:t>
            </w:r>
            <w:r w:rsidR="00305AE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 Toulouse</w:t>
            </w:r>
            <w:r w:rsidR="007F1AF4" w:rsidRPr="00E52E2A">
              <w:rPr>
                <w:sz w:val="24"/>
                <w:szCs w:val="24"/>
                <w:lang w:val="fr-FR"/>
              </w:rPr>
              <w:t>, France.</w:t>
            </w:r>
          </w:p>
        </w:tc>
      </w:tr>
    </w:tbl>
    <w:p w14:paraId="53EEE2B5" w14:textId="77777777" w:rsidR="00B37F35" w:rsidRDefault="00B37F35" w:rsidP="00FC19B4">
      <w:pPr>
        <w:ind w:right="454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Додаткова інформація</w:t>
      </w:r>
    </w:p>
    <w:sectPr w:rsidR="00B37F3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20"/>
      <w:pgMar w:top="567" w:right="454" w:bottom="454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F7DDF" w14:textId="77777777" w:rsidR="00E006D5" w:rsidRDefault="00E006D5">
      <w:pPr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5A9D6563" w14:textId="77777777" w:rsidR="00E006D5" w:rsidRDefault="00E006D5">
      <w:pPr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5F882" w14:textId="77777777" w:rsidR="00E006D5" w:rsidRDefault="00E006D5">
    <w:pPr>
      <w:pStyle w:val="a5"/>
      <w:jc w:val="center"/>
      <w:rPr>
        <w:lang w:val="ru-RU"/>
      </w:rPr>
    </w:pPr>
    <w:r>
      <w:rPr>
        <w:lang w:val="ru-RU"/>
      </w:rPr>
      <w:fldChar w:fldCharType="begin"/>
    </w:r>
    <w:r>
      <w:rPr>
        <w:lang w:val="ru-RU"/>
      </w:rPr>
      <w:instrText>PAGE   \* MERGEFORMAT</w:instrText>
    </w:r>
    <w:r>
      <w:rPr>
        <w:lang w:val="ru-RU"/>
      </w:rPr>
      <w:fldChar w:fldCharType="separate"/>
    </w:r>
    <w:r>
      <w:rPr>
        <w:noProof/>
        <w:lang w:val="ru-RU"/>
      </w:rPr>
      <w:t>2</w:t>
    </w:r>
    <w:r>
      <w:rPr>
        <w:lang w:val="ru-RU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DAA2C" w14:textId="77777777" w:rsidR="00E006D5" w:rsidRDefault="00E006D5">
    <w:pPr>
      <w:pStyle w:val="a5"/>
      <w:jc w:val="center"/>
      <w:rPr>
        <w:lang w:val="ru-RU"/>
      </w:rPr>
    </w:pPr>
    <w:r>
      <w:rPr>
        <w:lang w:val="ru-RU"/>
      </w:rPr>
      <w:fldChar w:fldCharType="begin"/>
    </w:r>
    <w:r>
      <w:rPr>
        <w:lang w:val="ru-RU"/>
      </w:rPr>
      <w:instrText>PAGE   \* MERGEFORMAT</w:instrText>
    </w:r>
    <w:r>
      <w:rPr>
        <w:lang w:val="ru-RU"/>
      </w:rPr>
      <w:fldChar w:fldCharType="separate"/>
    </w:r>
    <w:r w:rsidR="0022635E">
      <w:rPr>
        <w:noProof/>
        <w:lang w:val="ru-RU"/>
      </w:rPr>
      <w:t>5</w:t>
    </w:r>
    <w:r>
      <w:rPr>
        <w:lang w:val="ru-RU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558CE" w14:textId="77777777" w:rsidR="00E006D5" w:rsidRDefault="00E006D5">
    <w:pPr>
      <w:pStyle w:val="a5"/>
      <w:jc w:val="center"/>
      <w:rPr>
        <w:lang w:val="ru-RU"/>
      </w:rPr>
    </w:pPr>
    <w:r>
      <w:rPr>
        <w:lang w:val="ru-RU"/>
      </w:rPr>
      <w:fldChar w:fldCharType="begin"/>
    </w:r>
    <w:r>
      <w:rPr>
        <w:lang w:val="ru-RU"/>
      </w:rPr>
      <w:instrText>PAGE   \* MERGEFORMAT</w:instrText>
    </w:r>
    <w:r>
      <w:rPr>
        <w:lang w:val="ru-RU"/>
      </w:rPr>
      <w:fldChar w:fldCharType="separate"/>
    </w:r>
    <w:r w:rsidR="0022635E">
      <w:rPr>
        <w:noProof/>
        <w:lang w:val="ru-RU"/>
      </w:rPr>
      <w:t>1</w:t>
    </w:r>
    <w:r>
      <w:rPr>
        <w:lang w:val="ru-RU"/>
      </w:rPr>
      <w:fldChar w:fldCharType="end"/>
    </w:r>
  </w:p>
  <w:p w14:paraId="780CA2BC" w14:textId="77777777" w:rsidR="00E006D5" w:rsidRDefault="00E006D5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75D83" w14:textId="77777777" w:rsidR="00E006D5" w:rsidRDefault="00E006D5">
      <w:pPr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2D3238C5" w14:textId="77777777" w:rsidR="00E006D5" w:rsidRDefault="00E006D5">
      <w:pPr>
        <w:rPr>
          <w:lang w:val="ru-RU"/>
        </w:rPr>
      </w:pPr>
      <w:r>
        <w:rPr>
          <w:lang w:val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1E32C" w14:textId="77777777" w:rsidR="00E006D5" w:rsidRDefault="00E006D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Продовження додатку 1</w:t>
    </w:r>
  </w:p>
  <w:p w14:paraId="3434CBAD" w14:textId="77777777" w:rsidR="00E006D5" w:rsidRDefault="00E006D5">
    <w:pPr>
      <w:pStyle w:val="a3"/>
      <w:jc w:val="right"/>
      <w:rPr>
        <w:sz w:val="24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13A13" w14:textId="77777777" w:rsidR="00E006D5" w:rsidRPr="00E122A1" w:rsidRDefault="00E006D5">
    <w:pPr>
      <w:pStyle w:val="a3"/>
      <w:jc w:val="right"/>
      <w:rPr>
        <w:sz w:val="24"/>
        <w:szCs w:val="24"/>
        <w:lang w:val="ru-RU"/>
      </w:rPr>
    </w:pPr>
    <w:r>
      <w:rPr>
        <w:sz w:val="24"/>
        <w:szCs w:val="24"/>
      </w:rPr>
      <w:t>Продовження додатку 1</w:t>
    </w:r>
  </w:p>
  <w:p w14:paraId="780DC0D8" w14:textId="5E52507C" w:rsidR="00E006D5" w:rsidRPr="00E122A1" w:rsidRDefault="00E006D5">
    <w:pPr>
      <w:pStyle w:val="a3"/>
      <w:jc w:val="right"/>
      <w:rPr>
        <w:sz w:val="24"/>
        <w:szCs w:val="24"/>
        <w:lang w:val="ru-RU"/>
      </w:rPr>
    </w:pPr>
    <w:r>
      <w:rPr>
        <w:sz w:val="24"/>
        <w:szCs w:val="24"/>
      </w:rPr>
      <w:t xml:space="preserve">до реєстраційного посвідчення AA-06866-01-17 </w:t>
    </w:r>
    <w:r w:rsidRPr="00E122A1">
      <w:rPr>
        <w:sz w:val="24"/>
        <w:szCs w:val="24"/>
        <w:lang w:val="ru-RU"/>
      </w:rPr>
      <w:br/>
    </w:r>
  </w:p>
  <w:p w14:paraId="42AC056C" w14:textId="77777777" w:rsidR="00E006D5" w:rsidRDefault="00E006D5">
    <w:pPr>
      <w:pStyle w:val="a3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A1"/>
    <w:rsid w:val="00007A77"/>
    <w:rsid w:val="00010B3E"/>
    <w:rsid w:val="00016D35"/>
    <w:rsid w:val="00025321"/>
    <w:rsid w:val="00054C72"/>
    <w:rsid w:val="0008513A"/>
    <w:rsid w:val="00093069"/>
    <w:rsid w:val="000E4F62"/>
    <w:rsid w:val="00153A6A"/>
    <w:rsid w:val="00185554"/>
    <w:rsid w:val="001A2C13"/>
    <w:rsid w:val="00201889"/>
    <w:rsid w:val="002119BA"/>
    <w:rsid w:val="0022635E"/>
    <w:rsid w:val="00243A4E"/>
    <w:rsid w:val="00262A20"/>
    <w:rsid w:val="002A2235"/>
    <w:rsid w:val="002C6224"/>
    <w:rsid w:val="002F1220"/>
    <w:rsid w:val="002F5894"/>
    <w:rsid w:val="002F7321"/>
    <w:rsid w:val="00305AEE"/>
    <w:rsid w:val="003B3AB4"/>
    <w:rsid w:val="003B4984"/>
    <w:rsid w:val="003C1C26"/>
    <w:rsid w:val="003C69FD"/>
    <w:rsid w:val="0041598F"/>
    <w:rsid w:val="00416541"/>
    <w:rsid w:val="004E6E59"/>
    <w:rsid w:val="00553C3B"/>
    <w:rsid w:val="005B528A"/>
    <w:rsid w:val="005D2CE2"/>
    <w:rsid w:val="005E3186"/>
    <w:rsid w:val="005E5D65"/>
    <w:rsid w:val="006028C3"/>
    <w:rsid w:val="00640914"/>
    <w:rsid w:val="00660636"/>
    <w:rsid w:val="0069095E"/>
    <w:rsid w:val="006B32E1"/>
    <w:rsid w:val="006E11A4"/>
    <w:rsid w:val="006E1EF1"/>
    <w:rsid w:val="007B0C77"/>
    <w:rsid w:val="007B1722"/>
    <w:rsid w:val="007F1AF4"/>
    <w:rsid w:val="007F6D3B"/>
    <w:rsid w:val="00806BDF"/>
    <w:rsid w:val="008D1D79"/>
    <w:rsid w:val="009117E2"/>
    <w:rsid w:val="00916A37"/>
    <w:rsid w:val="00925D26"/>
    <w:rsid w:val="009852C9"/>
    <w:rsid w:val="00991201"/>
    <w:rsid w:val="009C5ECA"/>
    <w:rsid w:val="009F7203"/>
    <w:rsid w:val="00A056AB"/>
    <w:rsid w:val="00A22EE1"/>
    <w:rsid w:val="00A507DE"/>
    <w:rsid w:val="00AB6E1F"/>
    <w:rsid w:val="00B25D64"/>
    <w:rsid w:val="00B33411"/>
    <w:rsid w:val="00B37F35"/>
    <w:rsid w:val="00B95586"/>
    <w:rsid w:val="00BC08CC"/>
    <w:rsid w:val="00BC2EFE"/>
    <w:rsid w:val="00BF56F2"/>
    <w:rsid w:val="00C25819"/>
    <w:rsid w:val="00CA07EA"/>
    <w:rsid w:val="00CA2DE0"/>
    <w:rsid w:val="00D056F7"/>
    <w:rsid w:val="00D177F1"/>
    <w:rsid w:val="00D7461B"/>
    <w:rsid w:val="00D76F2C"/>
    <w:rsid w:val="00D87CBC"/>
    <w:rsid w:val="00E006D5"/>
    <w:rsid w:val="00E122A1"/>
    <w:rsid w:val="00E16FA0"/>
    <w:rsid w:val="00E52E2A"/>
    <w:rsid w:val="00E6645E"/>
    <w:rsid w:val="00EA1E6B"/>
    <w:rsid w:val="00EA6F48"/>
    <w:rsid w:val="00F313BD"/>
    <w:rsid w:val="00F37C00"/>
    <w:rsid w:val="00F50CCD"/>
    <w:rsid w:val="00FA76F2"/>
    <w:rsid w:val="00FC19B4"/>
    <w:rsid w:val="00F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9A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Times New Roman" w:hint="default"/>
      <w:sz w:val="24"/>
      <w:szCs w:val="20"/>
    </w:rPr>
  </w:style>
  <w:style w:type="character" w:customStyle="1" w:styleId="30">
    <w:name w:val="Заголовок 3 Знак"/>
    <w:link w:val="3"/>
    <w:semiHidden/>
    <w:locked/>
    <w:rPr>
      <w:rFonts w:ascii="Times New Roman" w:eastAsia="Times New Roman" w:hAnsi="Times New Roman" w:cs="Times New Roman" w:hint="default"/>
      <w:sz w:val="24"/>
      <w:szCs w:val="20"/>
    </w:rPr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locked/>
    <w:rPr>
      <w:rFonts w:ascii="Times New Roman" w:eastAsia="Times New Roman" w:hAnsi="Times New Roman" w:cs="Times New Roman" w:hint="default"/>
      <w:lang w:eastAsia="en-US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lang w:eastAsia="en-US"/>
    </w:rPr>
  </w:style>
  <w:style w:type="paragraph" w:styleId="2">
    <w:name w:val="Body Text 2"/>
    <w:basedOn w:val="a"/>
    <w:link w:val="20"/>
    <w:semiHidden/>
    <w:unhideWhenUsed/>
    <w:pPr>
      <w:jc w:val="both"/>
    </w:pPr>
    <w:rPr>
      <w:lang w:val="ru-RU" w:eastAsia="x-none"/>
    </w:rPr>
  </w:style>
  <w:style w:type="character" w:customStyle="1" w:styleId="20">
    <w:name w:val="Основной текст 2 Знак"/>
    <w:link w:val="2"/>
    <w:semiHidden/>
    <w:locked/>
    <w:rPr>
      <w:rFonts w:ascii="Times New Roman" w:eastAsia="Times New Roman" w:hAnsi="Times New Roman" w:cs="Times New Roman" w:hint="default"/>
      <w:sz w:val="20"/>
      <w:szCs w:val="20"/>
      <w:lang w:val="ru-RU"/>
    </w:rPr>
  </w:style>
  <w:style w:type="paragraph" w:styleId="31">
    <w:name w:val="Body Text Indent 3"/>
    <w:basedOn w:val="a"/>
    <w:link w:val="32"/>
    <w:semiHidden/>
    <w:unhideWhenUsed/>
    <w:pPr>
      <w:widowControl w:val="0"/>
      <w:snapToGrid w:val="0"/>
      <w:ind w:firstLine="851"/>
      <w:jc w:val="both"/>
    </w:pPr>
    <w:rPr>
      <w:snapToGrid w:val="0"/>
      <w:sz w:val="28"/>
      <w:lang w:val="x-none" w:eastAsia="ru-RU"/>
    </w:rPr>
  </w:style>
  <w:style w:type="character" w:customStyle="1" w:styleId="32">
    <w:name w:val="Основной текст с отступом 3 Знак"/>
    <w:link w:val="31"/>
    <w:semiHidden/>
    <w:locked/>
    <w:rPr>
      <w:rFonts w:ascii="Times New Roman" w:eastAsia="Times New Roman" w:hAnsi="Times New Roman" w:cs="Times New Roman" w:hint="default"/>
      <w:snapToGrid w:val="0"/>
      <w:sz w:val="28"/>
      <w:szCs w:val="20"/>
      <w:lang w:eastAsia="ru-RU"/>
    </w:rPr>
  </w:style>
  <w:style w:type="table" w:styleId="a7">
    <w:name w:val="Table Grid"/>
    <w:basedOn w:val="a1"/>
    <w:uiPriority w:val="59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e602b7f2">
    <w:name w:val="cse602b7f2"/>
    <w:basedOn w:val="a"/>
    <w:pPr>
      <w:ind w:left="720"/>
      <w:jc w:val="both"/>
    </w:pPr>
    <w:rPr>
      <w:sz w:val="24"/>
      <w:szCs w:val="24"/>
      <w:lang w:eastAsia="uk-UA"/>
    </w:rPr>
  </w:style>
  <w:style w:type="paragraph" w:customStyle="1" w:styleId="cs5efed22f">
    <w:name w:val="cs5efed22f"/>
    <w:basedOn w:val="a"/>
    <w:pPr>
      <w:spacing w:before="100" w:beforeAutospacing="1" w:after="100" w:afterAutospacing="1"/>
    </w:pPr>
    <w:rPr>
      <w:color w:val="000000"/>
      <w:sz w:val="24"/>
      <w:szCs w:val="24"/>
      <w:lang w:eastAsia="uk-UA"/>
    </w:rPr>
  </w:style>
  <w:style w:type="paragraph" w:customStyle="1" w:styleId="cs7fb5c607">
    <w:name w:val="cs7fb5c607"/>
    <w:basedOn w:val="a"/>
    <w:pPr>
      <w:ind w:firstLine="720"/>
      <w:jc w:val="both"/>
    </w:pPr>
    <w:rPr>
      <w:sz w:val="24"/>
      <w:szCs w:val="24"/>
      <w:lang w:eastAsia="uk-UA"/>
    </w:rPr>
  </w:style>
  <w:style w:type="character" w:customStyle="1" w:styleId="cse602b7f21">
    <w:name w:val="cse602b7f21"/>
    <w:basedOn w:val="a0"/>
  </w:style>
  <w:style w:type="character" w:customStyle="1" w:styleId="cs5efed22f1">
    <w:name w:val="cs5efed22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d3498dab">
    <w:name w:val="csd3498dab"/>
    <w:basedOn w:val="a"/>
    <w:pPr>
      <w:spacing w:before="40"/>
      <w:ind w:right="-40" w:firstLine="560"/>
      <w:jc w:val="both"/>
    </w:pPr>
    <w:rPr>
      <w:sz w:val="24"/>
      <w:szCs w:val="24"/>
      <w:lang w:eastAsia="uk-UA"/>
    </w:rPr>
  </w:style>
  <w:style w:type="paragraph" w:customStyle="1" w:styleId="cs8f386883">
    <w:name w:val="cs8f386883"/>
    <w:basedOn w:val="a"/>
    <w:pPr>
      <w:spacing w:before="100" w:beforeAutospacing="1" w:after="100" w:afterAutospacing="1"/>
    </w:pPr>
    <w:rPr>
      <w:b/>
      <w:bCs/>
      <w:i/>
      <w:iCs/>
      <w:color w:val="000000"/>
      <w:sz w:val="24"/>
      <w:szCs w:val="24"/>
      <w:lang w:eastAsia="uk-UA"/>
    </w:rPr>
  </w:style>
  <w:style w:type="paragraph" w:customStyle="1" w:styleId="cse3a9a65a">
    <w:name w:val="cse3a9a65a"/>
    <w:basedOn w:val="a"/>
    <w:pPr>
      <w:shd w:val="clear" w:color="auto" w:fill="FFFFFF"/>
      <w:spacing w:before="100" w:beforeAutospacing="1" w:after="100" w:afterAutospacing="1"/>
    </w:pPr>
    <w:rPr>
      <w:color w:val="222222"/>
      <w:sz w:val="24"/>
      <w:szCs w:val="24"/>
      <w:lang w:eastAsia="uk-UA"/>
    </w:rPr>
  </w:style>
  <w:style w:type="paragraph" w:customStyle="1" w:styleId="csa62dfd6a">
    <w:name w:val="csa62dfd6a"/>
    <w:basedOn w:val="a"/>
    <w:pPr>
      <w:spacing w:before="100" w:beforeAutospacing="1" w:after="100" w:afterAutospacing="1"/>
    </w:pPr>
    <w:rPr>
      <w:i/>
      <w:iCs/>
      <w:color w:val="000000"/>
      <w:sz w:val="24"/>
      <w:szCs w:val="24"/>
      <w:lang w:eastAsia="uk-UA"/>
    </w:rPr>
  </w:style>
  <w:style w:type="paragraph" w:customStyle="1" w:styleId="cs40acda58">
    <w:name w:val="cs40acda58"/>
    <w:basedOn w:val="a"/>
    <w:pPr>
      <w:spacing w:before="100" w:beforeAutospacing="1" w:after="100" w:afterAutospacing="1"/>
    </w:pPr>
    <w:rPr>
      <w:rFonts w:ascii="Segoe UI" w:hAnsi="Segoe UI" w:cs="Segoe UI"/>
      <w:i/>
      <w:iCs/>
      <w:color w:val="000000"/>
      <w:sz w:val="18"/>
      <w:szCs w:val="18"/>
      <w:lang w:eastAsia="uk-UA"/>
    </w:rPr>
  </w:style>
  <w:style w:type="paragraph" w:customStyle="1" w:styleId="cs36e2aa4c">
    <w:name w:val="cs36e2aa4c"/>
    <w:basedOn w:val="a"/>
    <w:pPr>
      <w:spacing w:before="100" w:beforeAutospacing="1" w:after="100" w:afterAutospacing="1"/>
    </w:pPr>
    <w:rPr>
      <w:color w:val="000000"/>
      <w:sz w:val="16"/>
      <w:szCs w:val="16"/>
      <w:lang w:eastAsia="uk-UA"/>
    </w:rPr>
  </w:style>
  <w:style w:type="character" w:customStyle="1" w:styleId="csd3498dab1">
    <w:name w:val="csd3498dab1"/>
    <w:basedOn w:val="a0"/>
  </w:style>
  <w:style w:type="character" w:customStyle="1" w:styleId="cs8f3868831">
    <w:name w:val="cs8f3868831"/>
    <w:rPr>
      <w:rFonts w:ascii="Times New Roman" w:hAnsi="Times New Roman" w:cs="Times New Roman" w:hint="default"/>
      <w:b/>
      <w:bCs/>
      <w:i/>
      <w:iCs/>
      <w:color w:val="000000"/>
      <w:sz w:val="24"/>
      <w:szCs w:val="24"/>
      <w:shd w:val="clear" w:color="auto" w:fill="auto"/>
    </w:rPr>
  </w:style>
  <w:style w:type="character" w:customStyle="1" w:styleId="cse3a9a65a1">
    <w:name w:val="cse3a9a65a1"/>
    <w:rPr>
      <w:rFonts w:ascii="Times New Roman" w:hAnsi="Times New Roman" w:cs="Times New Roman" w:hint="default"/>
      <w:b w:val="0"/>
      <w:bCs w:val="0"/>
      <w:i w:val="0"/>
      <w:iCs w:val="0"/>
      <w:color w:val="222222"/>
      <w:sz w:val="24"/>
      <w:szCs w:val="24"/>
      <w:shd w:val="clear" w:color="auto" w:fill="FFFFFF"/>
    </w:rPr>
  </w:style>
  <w:style w:type="character" w:customStyle="1" w:styleId="cs5efed22f2">
    <w:name w:val="cs5efed22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1">
    <w:name w:val="csa62dfd6a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character" w:customStyle="1" w:styleId="cs40acda581">
    <w:name w:val="cs40acda581"/>
    <w:rPr>
      <w:rFonts w:ascii="Segoe UI" w:hAnsi="Segoe UI" w:cs="Segoe UI" w:hint="default"/>
      <w:b w:val="0"/>
      <w:bCs w:val="0"/>
      <w:i/>
      <w:iCs/>
      <w:color w:val="000000"/>
      <w:sz w:val="18"/>
      <w:szCs w:val="18"/>
      <w:shd w:val="clear" w:color="auto" w:fill="auto"/>
    </w:rPr>
  </w:style>
  <w:style w:type="character" w:customStyle="1" w:styleId="cs36e2aa4c1">
    <w:name w:val="cs36e2aa4c1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  <w:shd w:val="clear" w:color="auto" w:fill="auto"/>
    </w:rPr>
  </w:style>
  <w:style w:type="paragraph" w:customStyle="1" w:styleId="cs3266721a">
    <w:name w:val="cs3266721a"/>
    <w:basedOn w:val="a"/>
    <w:pPr>
      <w:ind w:firstLine="560"/>
      <w:jc w:val="both"/>
    </w:pPr>
    <w:rPr>
      <w:sz w:val="24"/>
      <w:szCs w:val="24"/>
      <w:lang w:eastAsia="uk-UA"/>
    </w:rPr>
  </w:style>
  <w:style w:type="character" w:customStyle="1" w:styleId="cs3266721a1">
    <w:name w:val="cs3266721a1"/>
    <w:basedOn w:val="a0"/>
  </w:style>
  <w:style w:type="character" w:customStyle="1" w:styleId="cs5efed22f3">
    <w:name w:val="cs5efed22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2">
    <w:name w:val="csa62dfd6a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character" w:customStyle="1" w:styleId="cs40acda582">
    <w:name w:val="cs40acda582"/>
    <w:rPr>
      <w:rFonts w:ascii="Segoe UI" w:hAnsi="Segoe UI" w:cs="Segoe UI" w:hint="default"/>
      <w:b w:val="0"/>
      <w:bCs w:val="0"/>
      <w:i/>
      <w:iCs/>
      <w:color w:val="000000"/>
      <w:sz w:val="18"/>
      <w:szCs w:val="18"/>
      <w:shd w:val="clear" w:color="auto" w:fill="auto"/>
    </w:rPr>
  </w:style>
  <w:style w:type="character" w:customStyle="1" w:styleId="cs7fb5c6071">
    <w:name w:val="cs7fb5c6071"/>
    <w:basedOn w:val="a0"/>
  </w:style>
  <w:style w:type="character" w:customStyle="1" w:styleId="cs5efed22f4">
    <w:name w:val="cs5efed22f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242d954b">
    <w:name w:val="cs242d954b"/>
    <w:basedOn w:val="a"/>
    <w:pPr>
      <w:ind w:right="-40" w:firstLine="560"/>
      <w:jc w:val="both"/>
    </w:pPr>
    <w:rPr>
      <w:sz w:val="24"/>
      <w:szCs w:val="24"/>
      <w:lang w:eastAsia="uk-UA"/>
    </w:rPr>
  </w:style>
  <w:style w:type="character" w:customStyle="1" w:styleId="cs242d954b1">
    <w:name w:val="cs242d954b1"/>
    <w:basedOn w:val="a0"/>
  </w:style>
  <w:style w:type="character" w:customStyle="1" w:styleId="cs5efed22f5">
    <w:name w:val="cs5efed22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ccbacf97">
    <w:name w:val="csccbacf97"/>
    <w:basedOn w:val="a"/>
    <w:pPr>
      <w:ind w:right="-40" w:firstLine="560"/>
    </w:pPr>
    <w:rPr>
      <w:sz w:val="24"/>
      <w:szCs w:val="24"/>
      <w:lang w:eastAsia="uk-UA"/>
    </w:rPr>
  </w:style>
  <w:style w:type="paragraph" w:customStyle="1" w:styleId="cs242daed1">
    <w:name w:val="cs242daed1"/>
    <w:basedOn w:val="a"/>
    <w:pPr>
      <w:ind w:right="-80" w:firstLine="560"/>
      <w:jc w:val="both"/>
    </w:pPr>
    <w:rPr>
      <w:sz w:val="24"/>
      <w:szCs w:val="24"/>
      <w:lang w:eastAsia="uk-UA"/>
    </w:rPr>
  </w:style>
  <w:style w:type="character" w:customStyle="1" w:styleId="csccbacf971">
    <w:name w:val="csccbacf971"/>
    <w:basedOn w:val="a0"/>
  </w:style>
  <w:style w:type="character" w:customStyle="1" w:styleId="cs5efed22f6">
    <w:name w:val="cs5efed22f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2">
    <w:name w:val="cs242d954b2"/>
    <w:basedOn w:val="a0"/>
  </w:style>
  <w:style w:type="character" w:customStyle="1" w:styleId="cs5efed22f7">
    <w:name w:val="cs5efed22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7fb5c6072">
    <w:name w:val="cs7fb5c6072"/>
    <w:basedOn w:val="a0"/>
  </w:style>
  <w:style w:type="character" w:customStyle="1" w:styleId="cs5efed22f8">
    <w:name w:val="cs5efed22f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80d9435b">
    <w:name w:val="cs80d9435b"/>
    <w:basedOn w:val="a"/>
    <w:pPr>
      <w:jc w:val="both"/>
    </w:pPr>
    <w:rPr>
      <w:sz w:val="24"/>
      <w:szCs w:val="24"/>
      <w:lang w:eastAsia="uk-UA"/>
    </w:rPr>
  </w:style>
  <w:style w:type="paragraph" w:customStyle="1" w:styleId="csf718502a">
    <w:name w:val="csf718502a"/>
    <w:basedOn w:val="a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cs81fbcbd0">
    <w:name w:val="cs81fbcbd0"/>
    <w:basedOn w:val="a"/>
    <w:pPr>
      <w:ind w:right="-40"/>
      <w:jc w:val="center"/>
    </w:pPr>
    <w:rPr>
      <w:sz w:val="24"/>
      <w:szCs w:val="24"/>
      <w:lang w:eastAsia="uk-UA"/>
    </w:rPr>
  </w:style>
  <w:style w:type="paragraph" w:customStyle="1" w:styleId="cs83a78f7e">
    <w:name w:val="cs83a78f7e"/>
    <w:basedOn w:val="a"/>
    <w:pPr>
      <w:ind w:right="-40"/>
      <w:jc w:val="both"/>
    </w:pPr>
    <w:rPr>
      <w:sz w:val="24"/>
      <w:szCs w:val="24"/>
      <w:lang w:eastAsia="uk-UA"/>
    </w:rPr>
  </w:style>
  <w:style w:type="character" w:customStyle="1" w:styleId="cs3266721a2">
    <w:name w:val="cs3266721a2"/>
    <w:basedOn w:val="a0"/>
  </w:style>
  <w:style w:type="character" w:customStyle="1" w:styleId="cs5efed22f9">
    <w:name w:val="cs5efed22f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3">
    <w:name w:val="cs242d954b3"/>
    <w:basedOn w:val="a0"/>
  </w:style>
  <w:style w:type="character" w:customStyle="1" w:styleId="cs5efed22f10">
    <w:name w:val="cs5efed22f1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4">
    <w:name w:val="cs242d954b4"/>
    <w:basedOn w:val="a0"/>
  </w:style>
  <w:style w:type="character" w:customStyle="1" w:styleId="cs5efed22f11">
    <w:name w:val="cs5efed22f1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95e872d0">
    <w:name w:val="cs95e872d0"/>
    <w:basedOn w:val="a"/>
    <w:rPr>
      <w:sz w:val="24"/>
      <w:szCs w:val="24"/>
      <w:lang w:eastAsia="uk-UA"/>
    </w:rPr>
  </w:style>
  <w:style w:type="character" w:customStyle="1" w:styleId="cs95e872d01">
    <w:name w:val="cs95e872d01"/>
    <w:basedOn w:val="a0"/>
  </w:style>
  <w:style w:type="character" w:customStyle="1" w:styleId="cs5efed22f12">
    <w:name w:val="cs5efed22f1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f8cba3a1">
    <w:name w:val="csf8cba3a1"/>
    <w:basedOn w:val="a"/>
    <w:pPr>
      <w:ind w:firstLine="720"/>
    </w:pPr>
    <w:rPr>
      <w:sz w:val="24"/>
      <w:szCs w:val="24"/>
      <w:lang w:eastAsia="uk-UA"/>
    </w:rPr>
  </w:style>
  <w:style w:type="character" w:customStyle="1" w:styleId="csf8cba3a11">
    <w:name w:val="csf8cba3a11"/>
    <w:basedOn w:val="a0"/>
  </w:style>
  <w:style w:type="character" w:customStyle="1" w:styleId="cs5efed22f13">
    <w:name w:val="cs5efed22f1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76fc46a0">
    <w:name w:val="cs76fc46a0"/>
    <w:basedOn w:val="a"/>
    <w:pPr>
      <w:spacing w:before="100" w:beforeAutospacing="1" w:after="100" w:afterAutospacing="1"/>
    </w:pPr>
    <w:rPr>
      <w:color w:val="000000"/>
      <w:sz w:val="10"/>
      <w:szCs w:val="10"/>
      <w:lang w:eastAsia="uk-UA"/>
    </w:rPr>
  </w:style>
  <w:style w:type="character" w:customStyle="1" w:styleId="cs242d954b5">
    <w:name w:val="cs242d954b5"/>
    <w:basedOn w:val="a0"/>
  </w:style>
  <w:style w:type="character" w:customStyle="1" w:styleId="cs5efed22f14">
    <w:name w:val="cs5efed22f1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76fc46a01">
    <w:name w:val="cs76fc46a01"/>
    <w:rPr>
      <w:rFonts w:ascii="Times New Roman" w:hAnsi="Times New Roman" w:cs="Times New Roman" w:hint="default"/>
      <w:b w:val="0"/>
      <w:bCs w:val="0"/>
      <w:i w:val="0"/>
      <w:iCs w:val="0"/>
      <w:color w:val="000000"/>
      <w:sz w:val="10"/>
      <w:szCs w:val="10"/>
      <w:shd w:val="clear" w:color="auto" w:fill="auto"/>
    </w:rPr>
  </w:style>
  <w:style w:type="character" w:customStyle="1" w:styleId="cs242d954b6">
    <w:name w:val="cs242d954b6"/>
    <w:basedOn w:val="a0"/>
  </w:style>
  <w:style w:type="character" w:customStyle="1" w:styleId="cs5efed22f15">
    <w:name w:val="cs5efed22f1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7">
    <w:name w:val="cs242d954b7"/>
    <w:basedOn w:val="a0"/>
  </w:style>
  <w:style w:type="character" w:customStyle="1" w:styleId="cs5efed22f16">
    <w:name w:val="cs5efed22f1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styleId="a8">
    <w:name w:val="Balloon Text"/>
    <w:basedOn w:val="a"/>
    <w:link w:val="a9"/>
    <w:uiPriority w:val="99"/>
    <w:semiHidden/>
    <w:unhideWhenUsed/>
    <w:rsid w:val="00016D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16D35"/>
    <w:rPr>
      <w:rFonts w:ascii="Segoe UI" w:eastAsia="Times New Roman" w:hAnsi="Segoe UI" w:cs="Segoe UI"/>
      <w:sz w:val="18"/>
      <w:szCs w:val="18"/>
      <w:lang w:eastAsia="en-US" w:bidi="ar-SA"/>
    </w:rPr>
  </w:style>
  <w:style w:type="character" w:styleId="aa">
    <w:name w:val="annotation reference"/>
    <w:uiPriority w:val="99"/>
    <w:semiHidden/>
    <w:unhideWhenUsed/>
    <w:rsid w:val="00BC08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C08CC"/>
  </w:style>
  <w:style w:type="character" w:customStyle="1" w:styleId="ac">
    <w:name w:val="Текст примечания Знак"/>
    <w:link w:val="ab"/>
    <w:uiPriority w:val="99"/>
    <w:semiHidden/>
    <w:rsid w:val="00BC08CC"/>
    <w:rPr>
      <w:rFonts w:ascii="Times New Roman" w:eastAsia="Times New Roman" w:hAnsi="Times New Roman" w:cs="Times New Roman"/>
      <w:lang w:eastAsia="en-US" w:bidi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08CC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BC08CC"/>
    <w:rPr>
      <w:rFonts w:ascii="Times New Roman" w:eastAsia="Times New Roman" w:hAnsi="Times New Roman" w:cs="Times New Roman"/>
      <w:b/>
      <w:bCs/>
      <w:lang w:eastAsia="en-US" w:bidi="ar-SA"/>
    </w:rPr>
  </w:style>
  <w:style w:type="paragraph" w:customStyle="1" w:styleId="Default">
    <w:name w:val="Default"/>
    <w:rsid w:val="002A223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f">
    <w:name w:val="Revision"/>
    <w:hidden/>
    <w:uiPriority w:val="99"/>
    <w:semiHidden/>
    <w:rsid w:val="00243A4E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Arial" w:eastAsia="Times New Roman" w:hAnsi="Arial" w:cs="Times New Roman" w:hint="default"/>
      <w:sz w:val="24"/>
      <w:szCs w:val="20"/>
    </w:rPr>
  </w:style>
  <w:style w:type="character" w:customStyle="1" w:styleId="30">
    <w:name w:val="Заголовок 3 Знак"/>
    <w:link w:val="3"/>
    <w:semiHidden/>
    <w:locked/>
    <w:rPr>
      <w:rFonts w:ascii="Times New Roman" w:eastAsia="Times New Roman" w:hAnsi="Times New Roman" w:cs="Times New Roman" w:hint="default"/>
      <w:sz w:val="24"/>
      <w:szCs w:val="20"/>
    </w:rPr>
  </w:style>
  <w:style w:type="paragraph" w:styleId="a3">
    <w:name w:val="head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locked/>
    <w:rPr>
      <w:rFonts w:ascii="Times New Roman" w:eastAsia="Times New Roman" w:hAnsi="Times New Roman" w:cs="Times New Roman" w:hint="default"/>
      <w:lang w:eastAsia="en-US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eastAsia="Times New Roman" w:hAnsi="Times New Roman" w:cs="Times New Roman" w:hint="default"/>
      <w:lang w:eastAsia="en-US"/>
    </w:rPr>
  </w:style>
  <w:style w:type="paragraph" w:styleId="2">
    <w:name w:val="Body Text 2"/>
    <w:basedOn w:val="a"/>
    <w:link w:val="20"/>
    <w:semiHidden/>
    <w:unhideWhenUsed/>
    <w:pPr>
      <w:jc w:val="both"/>
    </w:pPr>
    <w:rPr>
      <w:lang w:val="ru-RU" w:eastAsia="x-none"/>
    </w:rPr>
  </w:style>
  <w:style w:type="character" w:customStyle="1" w:styleId="20">
    <w:name w:val="Основной текст 2 Знак"/>
    <w:link w:val="2"/>
    <w:semiHidden/>
    <w:locked/>
    <w:rPr>
      <w:rFonts w:ascii="Times New Roman" w:eastAsia="Times New Roman" w:hAnsi="Times New Roman" w:cs="Times New Roman" w:hint="default"/>
      <w:sz w:val="20"/>
      <w:szCs w:val="20"/>
      <w:lang w:val="ru-RU"/>
    </w:rPr>
  </w:style>
  <w:style w:type="paragraph" w:styleId="31">
    <w:name w:val="Body Text Indent 3"/>
    <w:basedOn w:val="a"/>
    <w:link w:val="32"/>
    <w:semiHidden/>
    <w:unhideWhenUsed/>
    <w:pPr>
      <w:widowControl w:val="0"/>
      <w:snapToGrid w:val="0"/>
      <w:ind w:firstLine="851"/>
      <w:jc w:val="both"/>
    </w:pPr>
    <w:rPr>
      <w:snapToGrid w:val="0"/>
      <w:sz w:val="28"/>
      <w:lang w:val="x-none" w:eastAsia="ru-RU"/>
    </w:rPr>
  </w:style>
  <w:style w:type="character" w:customStyle="1" w:styleId="32">
    <w:name w:val="Основной текст с отступом 3 Знак"/>
    <w:link w:val="31"/>
    <w:semiHidden/>
    <w:locked/>
    <w:rPr>
      <w:rFonts w:ascii="Times New Roman" w:eastAsia="Times New Roman" w:hAnsi="Times New Roman" w:cs="Times New Roman" w:hint="default"/>
      <w:snapToGrid w:val="0"/>
      <w:sz w:val="28"/>
      <w:szCs w:val="20"/>
      <w:lang w:eastAsia="ru-RU"/>
    </w:rPr>
  </w:style>
  <w:style w:type="table" w:styleId="a7">
    <w:name w:val="Table Grid"/>
    <w:basedOn w:val="a1"/>
    <w:uiPriority w:val="59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e602b7f2">
    <w:name w:val="cse602b7f2"/>
    <w:basedOn w:val="a"/>
    <w:pPr>
      <w:ind w:left="720"/>
      <w:jc w:val="both"/>
    </w:pPr>
    <w:rPr>
      <w:sz w:val="24"/>
      <w:szCs w:val="24"/>
      <w:lang w:eastAsia="uk-UA"/>
    </w:rPr>
  </w:style>
  <w:style w:type="paragraph" w:customStyle="1" w:styleId="cs5efed22f">
    <w:name w:val="cs5efed22f"/>
    <w:basedOn w:val="a"/>
    <w:pPr>
      <w:spacing w:before="100" w:beforeAutospacing="1" w:after="100" w:afterAutospacing="1"/>
    </w:pPr>
    <w:rPr>
      <w:color w:val="000000"/>
      <w:sz w:val="24"/>
      <w:szCs w:val="24"/>
      <w:lang w:eastAsia="uk-UA"/>
    </w:rPr>
  </w:style>
  <w:style w:type="paragraph" w:customStyle="1" w:styleId="cs7fb5c607">
    <w:name w:val="cs7fb5c607"/>
    <w:basedOn w:val="a"/>
    <w:pPr>
      <w:ind w:firstLine="720"/>
      <w:jc w:val="both"/>
    </w:pPr>
    <w:rPr>
      <w:sz w:val="24"/>
      <w:szCs w:val="24"/>
      <w:lang w:eastAsia="uk-UA"/>
    </w:rPr>
  </w:style>
  <w:style w:type="character" w:customStyle="1" w:styleId="cse602b7f21">
    <w:name w:val="cse602b7f21"/>
    <w:basedOn w:val="a0"/>
  </w:style>
  <w:style w:type="character" w:customStyle="1" w:styleId="cs5efed22f1">
    <w:name w:val="cs5efed22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d3498dab">
    <w:name w:val="csd3498dab"/>
    <w:basedOn w:val="a"/>
    <w:pPr>
      <w:spacing w:before="40"/>
      <w:ind w:right="-40" w:firstLine="560"/>
      <w:jc w:val="both"/>
    </w:pPr>
    <w:rPr>
      <w:sz w:val="24"/>
      <w:szCs w:val="24"/>
      <w:lang w:eastAsia="uk-UA"/>
    </w:rPr>
  </w:style>
  <w:style w:type="paragraph" w:customStyle="1" w:styleId="cs8f386883">
    <w:name w:val="cs8f386883"/>
    <w:basedOn w:val="a"/>
    <w:pPr>
      <w:spacing w:before="100" w:beforeAutospacing="1" w:after="100" w:afterAutospacing="1"/>
    </w:pPr>
    <w:rPr>
      <w:b/>
      <w:bCs/>
      <w:i/>
      <w:iCs/>
      <w:color w:val="000000"/>
      <w:sz w:val="24"/>
      <w:szCs w:val="24"/>
      <w:lang w:eastAsia="uk-UA"/>
    </w:rPr>
  </w:style>
  <w:style w:type="paragraph" w:customStyle="1" w:styleId="cse3a9a65a">
    <w:name w:val="cse3a9a65a"/>
    <w:basedOn w:val="a"/>
    <w:pPr>
      <w:shd w:val="clear" w:color="auto" w:fill="FFFFFF"/>
      <w:spacing w:before="100" w:beforeAutospacing="1" w:after="100" w:afterAutospacing="1"/>
    </w:pPr>
    <w:rPr>
      <w:color w:val="222222"/>
      <w:sz w:val="24"/>
      <w:szCs w:val="24"/>
      <w:lang w:eastAsia="uk-UA"/>
    </w:rPr>
  </w:style>
  <w:style w:type="paragraph" w:customStyle="1" w:styleId="csa62dfd6a">
    <w:name w:val="csa62dfd6a"/>
    <w:basedOn w:val="a"/>
    <w:pPr>
      <w:spacing w:before="100" w:beforeAutospacing="1" w:after="100" w:afterAutospacing="1"/>
    </w:pPr>
    <w:rPr>
      <w:i/>
      <w:iCs/>
      <w:color w:val="000000"/>
      <w:sz w:val="24"/>
      <w:szCs w:val="24"/>
      <w:lang w:eastAsia="uk-UA"/>
    </w:rPr>
  </w:style>
  <w:style w:type="paragraph" w:customStyle="1" w:styleId="cs40acda58">
    <w:name w:val="cs40acda58"/>
    <w:basedOn w:val="a"/>
    <w:pPr>
      <w:spacing w:before="100" w:beforeAutospacing="1" w:after="100" w:afterAutospacing="1"/>
    </w:pPr>
    <w:rPr>
      <w:rFonts w:ascii="Segoe UI" w:hAnsi="Segoe UI" w:cs="Segoe UI"/>
      <w:i/>
      <w:iCs/>
      <w:color w:val="000000"/>
      <w:sz w:val="18"/>
      <w:szCs w:val="18"/>
      <w:lang w:eastAsia="uk-UA"/>
    </w:rPr>
  </w:style>
  <w:style w:type="paragraph" w:customStyle="1" w:styleId="cs36e2aa4c">
    <w:name w:val="cs36e2aa4c"/>
    <w:basedOn w:val="a"/>
    <w:pPr>
      <w:spacing w:before="100" w:beforeAutospacing="1" w:after="100" w:afterAutospacing="1"/>
    </w:pPr>
    <w:rPr>
      <w:color w:val="000000"/>
      <w:sz w:val="16"/>
      <w:szCs w:val="16"/>
      <w:lang w:eastAsia="uk-UA"/>
    </w:rPr>
  </w:style>
  <w:style w:type="character" w:customStyle="1" w:styleId="csd3498dab1">
    <w:name w:val="csd3498dab1"/>
    <w:basedOn w:val="a0"/>
  </w:style>
  <w:style w:type="character" w:customStyle="1" w:styleId="cs8f3868831">
    <w:name w:val="cs8f3868831"/>
    <w:rPr>
      <w:rFonts w:ascii="Times New Roman" w:hAnsi="Times New Roman" w:cs="Times New Roman" w:hint="default"/>
      <w:b/>
      <w:bCs/>
      <w:i/>
      <w:iCs/>
      <w:color w:val="000000"/>
      <w:sz w:val="24"/>
      <w:szCs w:val="24"/>
      <w:shd w:val="clear" w:color="auto" w:fill="auto"/>
    </w:rPr>
  </w:style>
  <w:style w:type="character" w:customStyle="1" w:styleId="cse3a9a65a1">
    <w:name w:val="cse3a9a65a1"/>
    <w:rPr>
      <w:rFonts w:ascii="Times New Roman" w:hAnsi="Times New Roman" w:cs="Times New Roman" w:hint="default"/>
      <w:b w:val="0"/>
      <w:bCs w:val="0"/>
      <w:i w:val="0"/>
      <w:iCs w:val="0"/>
      <w:color w:val="222222"/>
      <w:sz w:val="24"/>
      <w:szCs w:val="24"/>
      <w:shd w:val="clear" w:color="auto" w:fill="FFFFFF"/>
    </w:rPr>
  </w:style>
  <w:style w:type="character" w:customStyle="1" w:styleId="cs5efed22f2">
    <w:name w:val="cs5efed22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1">
    <w:name w:val="csa62dfd6a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character" w:customStyle="1" w:styleId="cs40acda581">
    <w:name w:val="cs40acda581"/>
    <w:rPr>
      <w:rFonts w:ascii="Segoe UI" w:hAnsi="Segoe UI" w:cs="Segoe UI" w:hint="default"/>
      <w:b w:val="0"/>
      <w:bCs w:val="0"/>
      <w:i/>
      <w:iCs/>
      <w:color w:val="000000"/>
      <w:sz w:val="18"/>
      <w:szCs w:val="18"/>
      <w:shd w:val="clear" w:color="auto" w:fill="auto"/>
    </w:rPr>
  </w:style>
  <w:style w:type="character" w:customStyle="1" w:styleId="cs36e2aa4c1">
    <w:name w:val="cs36e2aa4c1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  <w:shd w:val="clear" w:color="auto" w:fill="auto"/>
    </w:rPr>
  </w:style>
  <w:style w:type="paragraph" w:customStyle="1" w:styleId="cs3266721a">
    <w:name w:val="cs3266721a"/>
    <w:basedOn w:val="a"/>
    <w:pPr>
      <w:ind w:firstLine="560"/>
      <w:jc w:val="both"/>
    </w:pPr>
    <w:rPr>
      <w:sz w:val="24"/>
      <w:szCs w:val="24"/>
      <w:lang w:eastAsia="uk-UA"/>
    </w:rPr>
  </w:style>
  <w:style w:type="character" w:customStyle="1" w:styleId="cs3266721a1">
    <w:name w:val="cs3266721a1"/>
    <w:basedOn w:val="a0"/>
  </w:style>
  <w:style w:type="character" w:customStyle="1" w:styleId="cs5efed22f3">
    <w:name w:val="cs5efed22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a62dfd6a2">
    <w:name w:val="csa62dfd6a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character" w:customStyle="1" w:styleId="cs40acda582">
    <w:name w:val="cs40acda582"/>
    <w:rPr>
      <w:rFonts w:ascii="Segoe UI" w:hAnsi="Segoe UI" w:cs="Segoe UI" w:hint="default"/>
      <w:b w:val="0"/>
      <w:bCs w:val="0"/>
      <w:i/>
      <w:iCs/>
      <w:color w:val="000000"/>
      <w:sz w:val="18"/>
      <w:szCs w:val="18"/>
      <w:shd w:val="clear" w:color="auto" w:fill="auto"/>
    </w:rPr>
  </w:style>
  <w:style w:type="character" w:customStyle="1" w:styleId="cs7fb5c6071">
    <w:name w:val="cs7fb5c6071"/>
    <w:basedOn w:val="a0"/>
  </w:style>
  <w:style w:type="character" w:customStyle="1" w:styleId="cs5efed22f4">
    <w:name w:val="cs5efed22f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242d954b">
    <w:name w:val="cs242d954b"/>
    <w:basedOn w:val="a"/>
    <w:pPr>
      <w:ind w:right="-40" w:firstLine="560"/>
      <w:jc w:val="both"/>
    </w:pPr>
    <w:rPr>
      <w:sz w:val="24"/>
      <w:szCs w:val="24"/>
      <w:lang w:eastAsia="uk-UA"/>
    </w:rPr>
  </w:style>
  <w:style w:type="character" w:customStyle="1" w:styleId="cs242d954b1">
    <w:name w:val="cs242d954b1"/>
    <w:basedOn w:val="a0"/>
  </w:style>
  <w:style w:type="character" w:customStyle="1" w:styleId="cs5efed22f5">
    <w:name w:val="cs5efed22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ccbacf97">
    <w:name w:val="csccbacf97"/>
    <w:basedOn w:val="a"/>
    <w:pPr>
      <w:ind w:right="-40" w:firstLine="560"/>
    </w:pPr>
    <w:rPr>
      <w:sz w:val="24"/>
      <w:szCs w:val="24"/>
      <w:lang w:eastAsia="uk-UA"/>
    </w:rPr>
  </w:style>
  <w:style w:type="paragraph" w:customStyle="1" w:styleId="cs242daed1">
    <w:name w:val="cs242daed1"/>
    <w:basedOn w:val="a"/>
    <w:pPr>
      <w:ind w:right="-80" w:firstLine="560"/>
      <w:jc w:val="both"/>
    </w:pPr>
    <w:rPr>
      <w:sz w:val="24"/>
      <w:szCs w:val="24"/>
      <w:lang w:eastAsia="uk-UA"/>
    </w:rPr>
  </w:style>
  <w:style w:type="character" w:customStyle="1" w:styleId="csccbacf971">
    <w:name w:val="csccbacf971"/>
    <w:basedOn w:val="a0"/>
  </w:style>
  <w:style w:type="character" w:customStyle="1" w:styleId="cs5efed22f6">
    <w:name w:val="cs5efed22f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2">
    <w:name w:val="cs242d954b2"/>
    <w:basedOn w:val="a0"/>
  </w:style>
  <w:style w:type="character" w:customStyle="1" w:styleId="cs5efed22f7">
    <w:name w:val="cs5efed22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7fb5c6072">
    <w:name w:val="cs7fb5c6072"/>
    <w:basedOn w:val="a0"/>
  </w:style>
  <w:style w:type="character" w:customStyle="1" w:styleId="cs5efed22f8">
    <w:name w:val="cs5efed22f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80d9435b">
    <w:name w:val="cs80d9435b"/>
    <w:basedOn w:val="a"/>
    <w:pPr>
      <w:jc w:val="both"/>
    </w:pPr>
    <w:rPr>
      <w:sz w:val="24"/>
      <w:szCs w:val="24"/>
      <w:lang w:eastAsia="uk-UA"/>
    </w:rPr>
  </w:style>
  <w:style w:type="paragraph" w:customStyle="1" w:styleId="csf718502a">
    <w:name w:val="csf718502a"/>
    <w:basedOn w:val="a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cs81fbcbd0">
    <w:name w:val="cs81fbcbd0"/>
    <w:basedOn w:val="a"/>
    <w:pPr>
      <w:ind w:right="-40"/>
      <w:jc w:val="center"/>
    </w:pPr>
    <w:rPr>
      <w:sz w:val="24"/>
      <w:szCs w:val="24"/>
      <w:lang w:eastAsia="uk-UA"/>
    </w:rPr>
  </w:style>
  <w:style w:type="paragraph" w:customStyle="1" w:styleId="cs83a78f7e">
    <w:name w:val="cs83a78f7e"/>
    <w:basedOn w:val="a"/>
    <w:pPr>
      <w:ind w:right="-40"/>
      <w:jc w:val="both"/>
    </w:pPr>
    <w:rPr>
      <w:sz w:val="24"/>
      <w:szCs w:val="24"/>
      <w:lang w:eastAsia="uk-UA"/>
    </w:rPr>
  </w:style>
  <w:style w:type="character" w:customStyle="1" w:styleId="cs3266721a2">
    <w:name w:val="cs3266721a2"/>
    <w:basedOn w:val="a0"/>
  </w:style>
  <w:style w:type="character" w:customStyle="1" w:styleId="cs5efed22f9">
    <w:name w:val="cs5efed22f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3">
    <w:name w:val="cs242d954b3"/>
    <w:basedOn w:val="a0"/>
  </w:style>
  <w:style w:type="character" w:customStyle="1" w:styleId="cs5efed22f10">
    <w:name w:val="cs5efed22f1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4">
    <w:name w:val="cs242d954b4"/>
    <w:basedOn w:val="a0"/>
  </w:style>
  <w:style w:type="character" w:customStyle="1" w:styleId="cs5efed22f11">
    <w:name w:val="cs5efed22f1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95e872d0">
    <w:name w:val="cs95e872d0"/>
    <w:basedOn w:val="a"/>
    <w:rPr>
      <w:sz w:val="24"/>
      <w:szCs w:val="24"/>
      <w:lang w:eastAsia="uk-UA"/>
    </w:rPr>
  </w:style>
  <w:style w:type="character" w:customStyle="1" w:styleId="cs95e872d01">
    <w:name w:val="cs95e872d01"/>
    <w:basedOn w:val="a0"/>
  </w:style>
  <w:style w:type="character" w:customStyle="1" w:styleId="cs5efed22f12">
    <w:name w:val="cs5efed22f1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f8cba3a1">
    <w:name w:val="csf8cba3a1"/>
    <w:basedOn w:val="a"/>
    <w:pPr>
      <w:ind w:firstLine="720"/>
    </w:pPr>
    <w:rPr>
      <w:sz w:val="24"/>
      <w:szCs w:val="24"/>
      <w:lang w:eastAsia="uk-UA"/>
    </w:rPr>
  </w:style>
  <w:style w:type="character" w:customStyle="1" w:styleId="csf8cba3a11">
    <w:name w:val="csf8cba3a11"/>
    <w:basedOn w:val="a0"/>
  </w:style>
  <w:style w:type="character" w:customStyle="1" w:styleId="cs5efed22f13">
    <w:name w:val="cs5efed22f1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customStyle="1" w:styleId="cs76fc46a0">
    <w:name w:val="cs76fc46a0"/>
    <w:basedOn w:val="a"/>
    <w:pPr>
      <w:spacing w:before="100" w:beforeAutospacing="1" w:after="100" w:afterAutospacing="1"/>
    </w:pPr>
    <w:rPr>
      <w:color w:val="000000"/>
      <w:sz w:val="10"/>
      <w:szCs w:val="10"/>
      <w:lang w:eastAsia="uk-UA"/>
    </w:rPr>
  </w:style>
  <w:style w:type="character" w:customStyle="1" w:styleId="cs242d954b5">
    <w:name w:val="cs242d954b5"/>
    <w:basedOn w:val="a0"/>
  </w:style>
  <w:style w:type="character" w:customStyle="1" w:styleId="cs5efed22f14">
    <w:name w:val="cs5efed22f1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76fc46a01">
    <w:name w:val="cs76fc46a01"/>
    <w:rPr>
      <w:rFonts w:ascii="Times New Roman" w:hAnsi="Times New Roman" w:cs="Times New Roman" w:hint="default"/>
      <w:b w:val="0"/>
      <w:bCs w:val="0"/>
      <w:i w:val="0"/>
      <w:iCs w:val="0"/>
      <w:color w:val="000000"/>
      <w:sz w:val="10"/>
      <w:szCs w:val="10"/>
      <w:shd w:val="clear" w:color="auto" w:fill="auto"/>
    </w:rPr>
  </w:style>
  <w:style w:type="character" w:customStyle="1" w:styleId="cs242d954b6">
    <w:name w:val="cs242d954b6"/>
    <w:basedOn w:val="a0"/>
  </w:style>
  <w:style w:type="character" w:customStyle="1" w:styleId="cs5efed22f15">
    <w:name w:val="cs5efed22f1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242d954b7">
    <w:name w:val="cs242d954b7"/>
    <w:basedOn w:val="a0"/>
  </w:style>
  <w:style w:type="character" w:customStyle="1" w:styleId="cs5efed22f16">
    <w:name w:val="cs5efed22f1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styleId="a8">
    <w:name w:val="Balloon Text"/>
    <w:basedOn w:val="a"/>
    <w:link w:val="a9"/>
    <w:uiPriority w:val="99"/>
    <w:semiHidden/>
    <w:unhideWhenUsed/>
    <w:rsid w:val="00016D3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16D35"/>
    <w:rPr>
      <w:rFonts w:ascii="Segoe UI" w:eastAsia="Times New Roman" w:hAnsi="Segoe UI" w:cs="Segoe UI"/>
      <w:sz w:val="18"/>
      <w:szCs w:val="18"/>
      <w:lang w:eastAsia="en-US" w:bidi="ar-SA"/>
    </w:rPr>
  </w:style>
  <w:style w:type="character" w:styleId="aa">
    <w:name w:val="annotation reference"/>
    <w:uiPriority w:val="99"/>
    <w:semiHidden/>
    <w:unhideWhenUsed/>
    <w:rsid w:val="00BC08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C08CC"/>
  </w:style>
  <w:style w:type="character" w:customStyle="1" w:styleId="ac">
    <w:name w:val="Текст примечания Знак"/>
    <w:link w:val="ab"/>
    <w:uiPriority w:val="99"/>
    <w:semiHidden/>
    <w:rsid w:val="00BC08CC"/>
    <w:rPr>
      <w:rFonts w:ascii="Times New Roman" w:eastAsia="Times New Roman" w:hAnsi="Times New Roman" w:cs="Times New Roman"/>
      <w:lang w:eastAsia="en-US" w:bidi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08CC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BC08CC"/>
    <w:rPr>
      <w:rFonts w:ascii="Times New Roman" w:eastAsia="Times New Roman" w:hAnsi="Times New Roman" w:cs="Times New Roman"/>
      <w:b/>
      <w:bCs/>
      <w:lang w:eastAsia="en-US" w:bidi="ar-SA"/>
    </w:rPr>
  </w:style>
  <w:style w:type="paragraph" w:customStyle="1" w:styleId="Default">
    <w:name w:val="Default"/>
    <w:rsid w:val="002A223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f">
    <w:name w:val="Revision"/>
    <w:hidden/>
    <w:uiPriority w:val="99"/>
    <w:semiHidden/>
    <w:rsid w:val="00243A4E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A7777B1-1708-4D21-8117-4A747AD52D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1993</Words>
  <Characters>13485</Characters>
  <Application>Microsoft Office Word</Application>
  <DocSecurity>0</DocSecurity>
  <Lines>112</Lines>
  <Paragraphs>30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***</Company>
  <LinksUpToDate>false</LinksUpToDate>
  <CharactersWithSpaces>15448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</dc:creator>
  <cp:keywords/>
  <dc:description/>
  <cp:lastModifiedBy>админ3</cp:lastModifiedBy>
  <cp:revision>6</cp:revision>
  <cp:lastPrinted>2024-04-18T11:27:00Z</cp:lastPrinted>
  <dcterms:created xsi:type="dcterms:W3CDTF">2026-05-04T09:30:00Z</dcterms:created>
  <dcterms:modified xsi:type="dcterms:W3CDTF">2026-07-17T09:13:00Z</dcterms:modified>
</cp:coreProperties>
</file>