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6F1F63" w14:textId="77777777" w:rsidR="00025B72" w:rsidRPr="00A27308" w:rsidRDefault="00025B72" w:rsidP="00025B72">
      <w:pPr>
        <w:ind w:left="5760" w:firstLine="720"/>
        <w:jc w:val="right"/>
      </w:pPr>
      <w:r w:rsidRPr="00A27308">
        <w:t xml:space="preserve">Додаток 1                                                                                   </w:t>
      </w:r>
    </w:p>
    <w:p w14:paraId="4013D715" w14:textId="67ABBACE" w:rsidR="00025B72" w:rsidRPr="00F23197" w:rsidRDefault="00025B72" w:rsidP="00025B72">
      <w:pPr>
        <w:pStyle w:val="Standard"/>
        <w:jc w:val="right"/>
        <w:rPr>
          <w:rFonts w:ascii="Times New Roman" w:hAnsi="Times New Roman" w:cs="Times New Roman"/>
          <w:lang w:val="uk-UA"/>
        </w:rPr>
      </w:pPr>
      <w:r w:rsidRPr="00A27308">
        <w:rPr>
          <w:rFonts w:ascii="Times New Roman" w:hAnsi="Times New Roman"/>
        </w:rPr>
        <w:t xml:space="preserve"> до реєстраційного </w:t>
      </w:r>
      <w:r w:rsidRPr="00F23197">
        <w:rPr>
          <w:rFonts w:ascii="Times New Roman" w:hAnsi="Times New Roman" w:cs="Times New Roman"/>
        </w:rPr>
        <w:t>посвідчення</w:t>
      </w:r>
      <w:r w:rsidR="00D1155F" w:rsidRPr="00F23197">
        <w:rPr>
          <w:rFonts w:ascii="Times New Roman" w:hAnsi="Times New Roman" w:cs="Times New Roman"/>
        </w:rPr>
        <w:t xml:space="preserve"> </w:t>
      </w:r>
      <w:r w:rsidR="00F23197" w:rsidRPr="00F23197">
        <w:rPr>
          <w:rFonts w:ascii="Times New Roman" w:hAnsi="Times New Roman" w:cs="Times New Roman"/>
          <w:lang w:val="uk-UA"/>
        </w:rPr>
        <w:t>АА-10054-01-26</w:t>
      </w:r>
    </w:p>
    <w:p w14:paraId="542F0A5C" w14:textId="77777777" w:rsidR="00D635A8" w:rsidRPr="00A27308" w:rsidRDefault="00D635A8" w:rsidP="00025B72">
      <w:pPr>
        <w:pStyle w:val="Standard"/>
        <w:jc w:val="right"/>
        <w:rPr>
          <w:rFonts w:ascii="Times New Roman" w:hAnsi="Times New Roman"/>
          <w:lang w:val="uk-UA"/>
        </w:rPr>
      </w:pPr>
    </w:p>
    <w:p w14:paraId="2BAD3B12" w14:textId="77777777" w:rsidR="00072B5F" w:rsidRPr="00A27308" w:rsidRDefault="00072B5F" w:rsidP="00072B5F">
      <w:pPr>
        <w:jc w:val="center"/>
        <w:rPr>
          <w:b/>
        </w:rPr>
      </w:pPr>
      <w:r w:rsidRPr="00A27308">
        <w:rPr>
          <w:b/>
        </w:rPr>
        <w:t>Коротка характеристика препарату</w:t>
      </w:r>
    </w:p>
    <w:p w14:paraId="2FBFFE9A" w14:textId="77777777" w:rsidR="00072B5F" w:rsidRPr="00A27308" w:rsidRDefault="00072B5F" w:rsidP="00072B5F"/>
    <w:p w14:paraId="73972459" w14:textId="77777777" w:rsidR="00072B5F" w:rsidRPr="00A27308" w:rsidRDefault="00072B5F" w:rsidP="004A1F46">
      <w:pPr>
        <w:ind w:firstLine="567"/>
        <w:jc w:val="both"/>
        <w:rPr>
          <w:b/>
          <w:lang w:val="ru-RU"/>
        </w:rPr>
      </w:pPr>
      <w:r w:rsidRPr="00A27308">
        <w:rPr>
          <w:b/>
        </w:rPr>
        <w:t>1. Назва</w:t>
      </w:r>
    </w:p>
    <w:p w14:paraId="35D61FED" w14:textId="7A7D322C" w:rsidR="008B54DF" w:rsidRPr="00A27308" w:rsidRDefault="008B54DF" w:rsidP="004A1F46">
      <w:pPr>
        <w:ind w:firstLine="567"/>
        <w:jc w:val="both"/>
        <w:rPr>
          <w:lang w:val="ru-RU"/>
        </w:rPr>
      </w:pPr>
      <w:r w:rsidRPr="00A27308">
        <w:rPr>
          <w:lang w:val="ru-RU"/>
        </w:rPr>
        <w:t>Ветмедин</w:t>
      </w:r>
      <w:r w:rsidR="005356ED" w:rsidRPr="00A27308">
        <w:rPr>
          <w:vertAlign w:val="superscript"/>
          <w:lang w:val="ru-RU"/>
        </w:rPr>
        <w:t>®</w:t>
      </w:r>
      <w:r w:rsidRPr="00A27308">
        <w:rPr>
          <w:lang w:val="ru-RU"/>
        </w:rPr>
        <w:t xml:space="preserve"> 1,5 мг/мл, </w:t>
      </w:r>
      <w:r w:rsidR="00A27308" w:rsidRPr="00A27308">
        <w:rPr>
          <w:lang w:val="ru-RU"/>
        </w:rPr>
        <w:t xml:space="preserve">розчин для перорального застосування для </w:t>
      </w:r>
      <w:r w:rsidRPr="00A27308">
        <w:rPr>
          <w:lang w:val="ru-RU"/>
        </w:rPr>
        <w:t>собак</w:t>
      </w:r>
    </w:p>
    <w:p w14:paraId="0C156538" w14:textId="77777777" w:rsidR="00072B5F" w:rsidRPr="00A27308" w:rsidRDefault="00072B5F" w:rsidP="004A1F46">
      <w:pPr>
        <w:ind w:firstLine="567"/>
        <w:jc w:val="both"/>
        <w:rPr>
          <w:b/>
        </w:rPr>
      </w:pPr>
      <w:r w:rsidRPr="00A27308">
        <w:rPr>
          <w:b/>
        </w:rPr>
        <w:t>2. Склад</w:t>
      </w:r>
    </w:p>
    <w:p w14:paraId="7EE9AC84" w14:textId="77777777" w:rsidR="00A27308" w:rsidRPr="00A27308" w:rsidRDefault="00A27308" w:rsidP="008960BE">
      <w:pPr>
        <w:ind w:firstLine="567"/>
        <w:jc w:val="both"/>
        <w:rPr>
          <w:lang w:val="ru-RU"/>
        </w:rPr>
      </w:pPr>
      <w:r w:rsidRPr="00A27308">
        <w:t>1 мл препарату містить діючу речовину:</w:t>
      </w:r>
    </w:p>
    <w:p w14:paraId="34CE26C9" w14:textId="5E828B73" w:rsidR="00200B26" w:rsidRPr="00A27308" w:rsidRDefault="00DD5A59" w:rsidP="008960BE">
      <w:pPr>
        <w:ind w:firstLine="567"/>
        <w:jc w:val="both"/>
      </w:pPr>
      <w:r>
        <w:t>п</w:t>
      </w:r>
      <w:r w:rsidR="00200B26" w:rsidRPr="00A27308">
        <w:t>імобендан</w:t>
      </w:r>
      <w:r>
        <w:t xml:space="preserve"> </w:t>
      </w:r>
      <w:r w:rsidR="00B45F8D" w:rsidRPr="00A27308">
        <w:t>-</w:t>
      </w:r>
      <w:r w:rsidR="00A27308" w:rsidRPr="00A27308">
        <w:rPr>
          <w:lang w:val="ru-RU"/>
        </w:rPr>
        <w:t xml:space="preserve"> 1</w:t>
      </w:r>
      <w:r w:rsidR="00A27308" w:rsidRPr="00A27308">
        <w:t xml:space="preserve">,5 </w:t>
      </w:r>
      <w:r w:rsidR="00200B26" w:rsidRPr="00A27308">
        <w:t>мг</w:t>
      </w:r>
      <w:r w:rsidR="00B45F8D" w:rsidRPr="00A27308">
        <w:t>.</w:t>
      </w:r>
    </w:p>
    <w:p w14:paraId="74A42F59" w14:textId="167B025A" w:rsidR="00A27308" w:rsidRPr="0089641B" w:rsidRDefault="008960BE" w:rsidP="00200B26">
      <w:pPr>
        <w:ind w:firstLine="567"/>
        <w:jc w:val="both"/>
      </w:pPr>
      <w:r w:rsidRPr="00A27308">
        <w:t xml:space="preserve">Допоміжні речовини: </w:t>
      </w:r>
      <w:r w:rsidR="00256D85" w:rsidRPr="00A27308">
        <w:t xml:space="preserve">кислота </w:t>
      </w:r>
      <w:r w:rsidR="00A27308" w:rsidRPr="00A27308">
        <w:t xml:space="preserve">сорбінова, гідроксипропілбетадек, гіпромелоза, </w:t>
      </w:r>
      <w:r w:rsidR="00256D85" w:rsidRPr="00A27308">
        <w:t xml:space="preserve">кислота </w:t>
      </w:r>
      <w:r w:rsidR="00A27308" w:rsidRPr="00A27308">
        <w:t xml:space="preserve">аскорбінова, </w:t>
      </w:r>
      <w:r w:rsidR="00256D85" w:rsidRPr="00A27308">
        <w:t>кислота</w:t>
      </w:r>
      <w:r w:rsidR="00256D85">
        <w:t xml:space="preserve"> </w:t>
      </w:r>
      <w:r w:rsidR="00A06439">
        <w:t>х</w:t>
      </w:r>
      <w:r w:rsidR="00A27308" w:rsidRPr="00A27308">
        <w:t xml:space="preserve">лористоводнева (для регулювання рН), </w:t>
      </w:r>
      <w:r w:rsidR="00256D85" w:rsidRPr="00A27308">
        <w:t xml:space="preserve">натрію </w:t>
      </w:r>
      <w:r w:rsidR="00A27308" w:rsidRPr="00A27308">
        <w:t xml:space="preserve">гідроксид (для регулювання рН), </w:t>
      </w:r>
      <w:r w:rsidR="00A06439" w:rsidRPr="00A06439">
        <w:t xml:space="preserve">вода </w:t>
      </w:r>
      <w:r w:rsidR="00A06439" w:rsidRPr="0089641B">
        <w:t>очищена</w:t>
      </w:r>
      <w:r w:rsidR="00A27308" w:rsidRPr="0089641B">
        <w:t>.</w:t>
      </w:r>
    </w:p>
    <w:p w14:paraId="5864C70E" w14:textId="77777777" w:rsidR="00072B5F" w:rsidRPr="0089641B" w:rsidRDefault="00072B5F" w:rsidP="004A1F46">
      <w:pPr>
        <w:ind w:firstLine="567"/>
        <w:jc w:val="both"/>
        <w:rPr>
          <w:b/>
        </w:rPr>
      </w:pPr>
      <w:r w:rsidRPr="0089641B">
        <w:rPr>
          <w:b/>
        </w:rPr>
        <w:t>3. Фармацевтична форма</w:t>
      </w:r>
    </w:p>
    <w:p w14:paraId="603AB37C" w14:textId="77777777" w:rsidR="00740ABE" w:rsidRPr="0089641B" w:rsidRDefault="00740ABE" w:rsidP="00F80183">
      <w:pPr>
        <w:ind w:firstLine="567"/>
        <w:jc w:val="both"/>
      </w:pPr>
      <w:r w:rsidRPr="0089641B">
        <w:t>Розчин для перорального застосування.</w:t>
      </w:r>
    </w:p>
    <w:p w14:paraId="70F4037B" w14:textId="77777777" w:rsidR="00072B5F" w:rsidRPr="00D34AAC" w:rsidRDefault="00072B5F" w:rsidP="00F70F9A">
      <w:pPr>
        <w:ind w:firstLine="567"/>
        <w:jc w:val="both"/>
        <w:rPr>
          <w:b/>
        </w:rPr>
      </w:pPr>
      <w:r w:rsidRPr="00D34AAC">
        <w:rPr>
          <w:b/>
        </w:rPr>
        <w:t>4. Фармакологічні властивості</w:t>
      </w:r>
    </w:p>
    <w:p w14:paraId="2481E9A8" w14:textId="6DE3DB33" w:rsidR="00E2598D" w:rsidRPr="00B40B49" w:rsidRDefault="00256D85" w:rsidP="00C85178">
      <w:pPr>
        <w:ind w:firstLine="567"/>
        <w:jc w:val="both"/>
        <w:rPr>
          <w:b/>
          <w:i/>
        </w:rPr>
      </w:pPr>
      <w:bookmarkStart w:id="0" w:name="_Hlk213778965"/>
      <w:r w:rsidRPr="00256D85">
        <w:rPr>
          <w:b/>
          <w:i/>
        </w:rPr>
        <w:t xml:space="preserve">ATC vet класифікаційний код QC01CE – Неглікозидні </w:t>
      </w:r>
      <w:r w:rsidR="00B60E0D" w:rsidRPr="00B60E0D">
        <w:rPr>
          <w:b/>
          <w:i/>
        </w:rPr>
        <w:t>кардіологічні</w:t>
      </w:r>
      <w:r w:rsidRPr="00256D85">
        <w:rPr>
          <w:b/>
          <w:i/>
        </w:rPr>
        <w:t xml:space="preserve"> ветеринарні препарати. Інгібітори фосфодіестерази. QC01CE90 -</w:t>
      </w:r>
      <w:r w:rsidR="00F5038C">
        <w:rPr>
          <w:b/>
          <w:i/>
        </w:rPr>
        <w:t xml:space="preserve"> </w:t>
      </w:r>
      <w:r w:rsidRPr="00256D85">
        <w:rPr>
          <w:b/>
          <w:i/>
        </w:rPr>
        <w:t>Пімобендан.</w:t>
      </w:r>
    </w:p>
    <w:p w14:paraId="2ED5B404" w14:textId="078C1803" w:rsidR="00C85178" w:rsidRPr="00AA07FD" w:rsidRDefault="00C85178" w:rsidP="00C85178">
      <w:pPr>
        <w:ind w:firstLine="567"/>
        <w:jc w:val="both"/>
      </w:pPr>
      <w:r w:rsidRPr="00AA07FD">
        <w:t>Пімобендан, похідне бензимадазол-піридазинону, має позитивну інотропну дію і виражені судиннорозширюючі вазодилататорні властивості.</w:t>
      </w:r>
    </w:p>
    <w:p w14:paraId="5767BB0B" w14:textId="77777777" w:rsidR="00C85178" w:rsidRPr="00AA07FD" w:rsidRDefault="00C85178" w:rsidP="00C85178">
      <w:pPr>
        <w:ind w:firstLine="567"/>
        <w:jc w:val="both"/>
      </w:pPr>
      <w:r w:rsidRPr="00AA07FD">
        <w:t>Позитивний інотропний ефект пімобендану зумовлений двома механізмами дії: підвищенням чутливості до кальцію волокон серцевого м’яза та пригніченням активності фосфодіестерази III. Таким чином, позитивний інотропний ефект не спричиняється ні дією, подібною до дії серцевих глікозидів, ні симпатоміметично. Вазодилатаційний ефект пов’язаний із пригніченням активності фосфодіестерази III.</w:t>
      </w:r>
    </w:p>
    <w:p w14:paraId="417F7AAD" w14:textId="77777777" w:rsidR="00C85178" w:rsidRPr="00282E19" w:rsidRDefault="00C85178" w:rsidP="00C85178">
      <w:pPr>
        <w:ind w:firstLine="567"/>
        <w:jc w:val="both"/>
        <w:rPr>
          <w:color w:val="FF0000"/>
        </w:rPr>
      </w:pPr>
      <w:r w:rsidRPr="00AA07FD">
        <w:t>У випадках симптоматичної недостатності клапанів серця, при застосуванні у поєднанні з фуросемідом, пімобендан покращує якість і продовжує очікувану тривалість життя собак, яких лікували. Також встановлено, що в обмеженій кількості випадків, при застосуванні у випадках симптоматичної дилатаційної кардіоміопатії в поєднанні з фуросемідом, еналаприлом і дигоксином, пімобенданпокращує якість і продовжує очікувану тривалість життя у собак.</w:t>
      </w:r>
    </w:p>
    <w:p w14:paraId="529204FB" w14:textId="77777777" w:rsidR="005F0D6D" w:rsidRPr="00AA07FD" w:rsidRDefault="005F0D6D" w:rsidP="005F0D6D">
      <w:pPr>
        <w:ind w:firstLine="567"/>
        <w:jc w:val="both"/>
      </w:pPr>
      <w:r w:rsidRPr="00AA07FD">
        <w:t>Після перорального застосування біодо</w:t>
      </w:r>
      <w:r w:rsidR="00C85178" w:rsidRPr="00AA07FD">
        <w:t xml:space="preserve">ступність пімобендану </w:t>
      </w:r>
      <w:r w:rsidRPr="00AA07FD">
        <w:t>становить 60-63 %. Оскільки одночасне або попереднє споживання їжі знижує біодоступність, пімобендан слід вводити приблизно за 1 годину до годівлі тварини.</w:t>
      </w:r>
      <w:r w:rsidR="00C85178" w:rsidRPr="00AA07FD">
        <w:t xml:space="preserve"> </w:t>
      </w:r>
    </w:p>
    <w:p w14:paraId="46D5EB9F" w14:textId="77777777" w:rsidR="00C85178" w:rsidRPr="00AA07FD" w:rsidRDefault="00C85178" w:rsidP="00C85178">
      <w:pPr>
        <w:ind w:firstLine="567"/>
        <w:jc w:val="both"/>
      </w:pPr>
      <w:r w:rsidRPr="00AA07FD">
        <w:t>Обсяг розподілу становить 2,6 л/кг, що вказує на те, що пімобендан рівномірно розподіляється у тканинах. Середнє зв’язування пімобендану з білками плазми становить 93 %.</w:t>
      </w:r>
    </w:p>
    <w:p w14:paraId="17BD15D2" w14:textId="77777777" w:rsidR="00C85178" w:rsidRPr="00AA07FD" w:rsidRDefault="00C85178" w:rsidP="00C85178">
      <w:pPr>
        <w:ind w:firstLine="567"/>
        <w:jc w:val="both"/>
      </w:pPr>
      <w:r w:rsidRPr="00AA07FD">
        <w:t>Пімобендан деметилюється шляхом окислення до основного активного метаболіту (UD-CG212). Подальшими метаболічними стадіями є кон’югати II фази UD-CG212, такі як глюкуроніди і сульфати.</w:t>
      </w:r>
    </w:p>
    <w:p w14:paraId="4BFAD1B6" w14:textId="77777777" w:rsidR="009C5AD4" w:rsidRPr="00AA07FD" w:rsidRDefault="005F0D6D" w:rsidP="005F0D6D">
      <w:pPr>
        <w:ind w:firstLine="567"/>
        <w:jc w:val="both"/>
      </w:pPr>
      <w:r w:rsidRPr="00AA07FD">
        <w:t>Період напіввиведення пімобендану з плазми крові становить 0,4 ± 0,1 години, що відповідає високому кліренсу 90 ± 19 мл/хв/кг і короткому середньому часу утримання 0,5 ± 0,1 години. Найбільш значний активний метаболіт виводиться з плазми крові з періодом напіввиведення 2,0 ± 0,3 години. Майже вся доза виводиться з фекаліями.</w:t>
      </w:r>
    </w:p>
    <w:bookmarkEnd w:id="0"/>
    <w:p w14:paraId="704C0456" w14:textId="77777777" w:rsidR="00072B5F" w:rsidRPr="00F80183" w:rsidRDefault="00072B5F" w:rsidP="004A1F46">
      <w:pPr>
        <w:ind w:firstLine="567"/>
        <w:jc w:val="both"/>
        <w:rPr>
          <w:b/>
        </w:rPr>
      </w:pPr>
      <w:r w:rsidRPr="00F80183">
        <w:rPr>
          <w:b/>
        </w:rPr>
        <w:t>5. Клінічні особливості</w:t>
      </w:r>
    </w:p>
    <w:p w14:paraId="2F4F538D" w14:textId="77777777" w:rsidR="00072B5F" w:rsidRPr="00F80183" w:rsidRDefault="00072B5F" w:rsidP="004A1F46">
      <w:pPr>
        <w:ind w:firstLine="567"/>
        <w:jc w:val="both"/>
        <w:rPr>
          <w:b/>
        </w:rPr>
      </w:pPr>
      <w:r w:rsidRPr="00F80183">
        <w:rPr>
          <w:b/>
        </w:rPr>
        <w:t>5.1 Вид тварин</w:t>
      </w:r>
    </w:p>
    <w:p w14:paraId="114508E4" w14:textId="77777777" w:rsidR="00072B5F" w:rsidRPr="00F53610" w:rsidRDefault="001D0610" w:rsidP="004A1F46">
      <w:pPr>
        <w:ind w:firstLine="567"/>
        <w:jc w:val="both"/>
      </w:pPr>
      <w:r w:rsidRPr="00F53610">
        <w:t>Собаки</w:t>
      </w:r>
      <w:r w:rsidR="00072B5F" w:rsidRPr="00F53610">
        <w:t>.</w:t>
      </w:r>
    </w:p>
    <w:p w14:paraId="2072BCF1" w14:textId="77777777" w:rsidR="00072B5F" w:rsidRPr="00F53610" w:rsidRDefault="00072B5F" w:rsidP="004A1F46">
      <w:pPr>
        <w:ind w:firstLine="567"/>
        <w:jc w:val="both"/>
        <w:rPr>
          <w:b/>
        </w:rPr>
      </w:pPr>
      <w:r w:rsidRPr="00F53610">
        <w:rPr>
          <w:b/>
        </w:rPr>
        <w:t>5.2 Показання до застосування</w:t>
      </w:r>
    </w:p>
    <w:p w14:paraId="6CC7202C" w14:textId="53855994" w:rsidR="005F0D6D" w:rsidRPr="00F53610" w:rsidRDefault="00256D85" w:rsidP="005F0D6D">
      <w:pPr>
        <w:ind w:firstLine="567"/>
        <w:jc w:val="both"/>
      </w:pPr>
      <w:bookmarkStart w:id="1" w:name="_Hlk227675412"/>
      <w:bookmarkStart w:id="2" w:name="_Hlk213778990"/>
      <w:r w:rsidRPr="00256D85">
        <w:t>Лікування собак за застійної серцевої недостатності</w:t>
      </w:r>
      <w:bookmarkEnd w:id="1"/>
      <w:r w:rsidR="005F0D6D" w:rsidRPr="00F53610">
        <w:t>, що виникає внаслідок дилатаційної кардіоміопатії або клапанної недостатності (регургітація мітрального та/або трикуспідального клапанів).</w:t>
      </w:r>
    </w:p>
    <w:p w14:paraId="2E2A21C9" w14:textId="0663C166" w:rsidR="003672D5" w:rsidRPr="006A6C2A" w:rsidRDefault="00256D85" w:rsidP="003672D5">
      <w:pPr>
        <w:ind w:firstLine="567"/>
        <w:jc w:val="both"/>
      </w:pPr>
      <w:bookmarkStart w:id="3" w:name="_Hlk227675586"/>
      <w:bookmarkStart w:id="4" w:name="_Hlk213779005"/>
      <w:bookmarkEnd w:id="2"/>
      <w:r w:rsidRPr="00256D85">
        <w:t>Лікування доберманів-пінчерів за дилатаційної кардіоміопатії на доклінічній стадії (безсимптомний перебіг зі збільшенням кінцево-систолічного і кінцево-діастолічного діаметра лівого шлуночка) у після ехокардіографічної діагностики захворювання серця.</w:t>
      </w:r>
      <w:bookmarkEnd w:id="3"/>
    </w:p>
    <w:bookmarkEnd w:id="4"/>
    <w:p w14:paraId="0585FA86" w14:textId="77777777" w:rsidR="00024579" w:rsidRPr="006E01C5" w:rsidRDefault="00024579" w:rsidP="00024579">
      <w:pPr>
        <w:ind w:firstLine="567"/>
        <w:jc w:val="both"/>
        <w:rPr>
          <w:b/>
        </w:rPr>
      </w:pPr>
      <w:r w:rsidRPr="006A6C2A">
        <w:rPr>
          <w:b/>
        </w:rPr>
        <w:t>5.3 Протипоказання</w:t>
      </w:r>
    </w:p>
    <w:p w14:paraId="7FE898A7" w14:textId="77777777" w:rsidR="00024579" w:rsidRPr="006A6C2A" w:rsidRDefault="00024579" w:rsidP="00024579">
      <w:pPr>
        <w:ind w:firstLine="567"/>
        <w:jc w:val="both"/>
      </w:pPr>
      <w:r w:rsidRPr="006A6C2A">
        <w:t xml:space="preserve">Не застосовувати </w:t>
      </w:r>
      <w:proofErr w:type="spellStart"/>
      <w:r w:rsidRPr="006A6C2A">
        <w:t>пімобендан</w:t>
      </w:r>
      <w:proofErr w:type="spellEnd"/>
      <w:r w:rsidRPr="006A6C2A">
        <w:t xml:space="preserve"> </w:t>
      </w:r>
      <w:r w:rsidRPr="00256D85">
        <w:t>за</w:t>
      </w:r>
      <w:r w:rsidRPr="006A6C2A">
        <w:t xml:space="preserve"> гіпертрофічних </w:t>
      </w:r>
      <w:proofErr w:type="spellStart"/>
      <w:r w:rsidRPr="006A6C2A">
        <w:t>кардіоміопаті</w:t>
      </w:r>
      <w:r>
        <w:t>й</w:t>
      </w:r>
      <w:proofErr w:type="spellEnd"/>
      <w:r w:rsidRPr="006A6C2A">
        <w:t xml:space="preserve"> або </w:t>
      </w:r>
      <w:r>
        <w:t>за</w:t>
      </w:r>
      <w:r w:rsidRPr="006A6C2A">
        <w:t xml:space="preserve"> клінічних стан</w:t>
      </w:r>
      <w:r>
        <w:t>ів</w:t>
      </w:r>
      <w:r w:rsidRPr="006A6C2A">
        <w:t>, де не можна збільшити серцевий викид крові через функціональні або анатомічні особливості (наприклад, стеноз аорти).</w:t>
      </w:r>
    </w:p>
    <w:p w14:paraId="0393BE6D" w14:textId="77777777" w:rsidR="006E01C5" w:rsidRPr="008448B0" w:rsidRDefault="006E01C5" w:rsidP="006E01C5">
      <w:pPr>
        <w:ind w:firstLine="567"/>
        <w:jc w:val="both"/>
        <w:rPr>
          <w:b/>
        </w:rPr>
      </w:pPr>
    </w:p>
    <w:p w14:paraId="19945494" w14:textId="77777777" w:rsidR="006E01C5" w:rsidRPr="006A6C2A" w:rsidRDefault="006E01C5" w:rsidP="006E01C5">
      <w:pPr>
        <w:ind w:left="5760" w:firstLine="720"/>
        <w:jc w:val="right"/>
      </w:pPr>
      <w:r w:rsidRPr="006A6C2A">
        <w:lastRenderedPageBreak/>
        <w:t xml:space="preserve">Продовження додатку 1                                                                                   </w:t>
      </w:r>
    </w:p>
    <w:p w14:paraId="6A7D62FE" w14:textId="7D75E163" w:rsidR="006E01C5" w:rsidRPr="006A6C2A" w:rsidRDefault="006E01C5" w:rsidP="006E01C5">
      <w:pPr>
        <w:ind w:firstLine="567"/>
        <w:jc w:val="right"/>
      </w:pPr>
      <w:r w:rsidRPr="006A6C2A">
        <w:t xml:space="preserve"> до реєстраційного посвідчення </w:t>
      </w:r>
      <w:r w:rsidR="00F23197" w:rsidRPr="00F23197">
        <w:t>АА-10054-01-26</w:t>
      </w:r>
    </w:p>
    <w:p w14:paraId="37419DC5" w14:textId="77777777" w:rsidR="006E01C5" w:rsidRPr="00024579" w:rsidRDefault="006E01C5" w:rsidP="006E01C5">
      <w:pPr>
        <w:ind w:firstLine="567"/>
        <w:jc w:val="both"/>
        <w:rPr>
          <w:b/>
        </w:rPr>
      </w:pPr>
    </w:p>
    <w:p w14:paraId="677CD446" w14:textId="77777777" w:rsidR="006A6C2A" w:rsidRPr="006A6C2A" w:rsidRDefault="006A6C2A" w:rsidP="006A6C2A">
      <w:pPr>
        <w:ind w:firstLine="567"/>
        <w:jc w:val="both"/>
      </w:pPr>
      <w:bookmarkStart w:id="5" w:name="_Hlk213779096"/>
      <w:r w:rsidRPr="006A6C2A">
        <w:t xml:space="preserve">Оскільки метаболізм </w:t>
      </w:r>
      <w:proofErr w:type="spellStart"/>
      <w:r w:rsidRPr="006A6C2A">
        <w:t>пімобендану</w:t>
      </w:r>
      <w:proofErr w:type="spellEnd"/>
      <w:r w:rsidRPr="006A6C2A">
        <w:t xml:space="preserve"> відбувається, головним чином, у печінці, препарат не слід застосовувати собакам із важкими порушеннями функції печінки. </w:t>
      </w:r>
    </w:p>
    <w:p w14:paraId="7A35F4CD" w14:textId="6B013358" w:rsidR="005F0D6D" w:rsidRPr="006A6C2A" w:rsidRDefault="00046264" w:rsidP="005F0D6D">
      <w:pPr>
        <w:ind w:firstLine="567"/>
        <w:jc w:val="both"/>
      </w:pPr>
      <w:r w:rsidRPr="006A6C2A">
        <w:t xml:space="preserve">Не застосовувати </w:t>
      </w:r>
      <w:r w:rsidR="00256D85">
        <w:t>за</w:t>
      </w:r>
      <w:r w:rsidRPr="006A6C2A">
        <w:t xml:space="preserve"> підвищен</w:t>
      </w:r>
      <w:r w:rsidR="00256D85">
        <w:t>ої</w:t>
      </w:r>
      <w:r w:rsidRPr="006A6C2A">
        <w:t xml:space="preserve"> чутливості до діючої речовини або будь-якої з допоміжних речовин. </w:t>
      </w:r>
    </w:p>
    <w:bookmarkEnd w:id="5"/>
    <w:p w14:paraId="4969922B" w14:textId="77777777" w:rsidR="004E1252" w:rsidRPr="00AF62F4" w:rsidRDefault="004E1252" w:rsidP="004E1252">
      <w:pPr>
        <w:ind w:firstLine="567"/>
        <w:jc w:val="both"/>
        <w:rPr>
          <w:b/>
        </w:rPr>
      </w:pPr>
      <w:r w:rsidRPr="00AF62F4">
        <w:rPr>
          <w:b/>
        </w:rPr>
        <w:t>5.4 Побічна дія</w:t>
      </w:r>
    </w:p>
    <w:p w14:paraId="303CD629" w14:textId="4496DF50" w:rsidR="00256D85" w:rsidRDefault="00256D85" w:rsidP="005F0D6D">
      <w:pPr>
        <w:ind w:firstLine="567"/>
        <w:jc w:val="both"/>
      </w:pPr>
      <w:bookmarkStart w:id="6" w:name="_Hlk227675827"/>
      <w:bookmarkStart w:id="7" w:name="_Hlk213779122"/>
      <w:r>
        <w:t>Собаки:</w:t>
      </w:r>
    </w:p>
    <w:tbl>
      <w:tblPr>
        <w:tblStyle w:val="a6"/>
        <w:tblW w:w="0" w:type="auto"/>
        <w:tblLook w:val="04A0" w:firstRow="1" w:lastRow="0" w:firstColumn="1" w:lastColumn="0" w:noHBand="0" w:noVBand="1"/>
      </w:tblPr>
      <w:tblGrid>
        <w:gridCol w:w="5154"/>
        <w:gridCol w:w="5154"/>
      </w:tblGrid>
      <w:tr w:rsidR="00256D85" w14:paraId="0D3D3DF0" w14:textId="77777777" w:rsidTr="00256D85">
        <w:tc>
          <w:tcPr>
            <w:tcW w:w="5154" w:type="dxa"/>
          </w:tcPr>
          <w:p w14:paraId="4CE54BC8" w14:textId="77777777" w:rsidR="00256D85" w:rsidRDefault="00256D85" w:rsidP="005F0D6D">
            <w:pPr>
              <w:jc w:val="both"/>
            </w:pPr>
            <w:r>
              <w:t>Р</w:t>
            </w:r>
            <w:r w:rsidRPr="00256D85">
              <w:t>ідко</w:t>
            </w:r>
          </w:p>
          <w:p w14:paraId="223B31F9" w14:textId="449DB80C" w:rsidR="002C1269" w:rsidRDefault="002C1269" w:rsidP="005F0D6D">
            <w:pPr>
              <w:jc w:val="both"/>
            </w:pPr>
            <w:r>
              <w:t xml:space="preserve">(1 до 10 тварин з 10000 тварин, </w:t>
            </w:r>
            <w:r w:rsidRPr="002C1269">
              <w:t>які отрим</w:t>
            </w:r>
            <w:r>
              <w:t>ати</w:t>
            </w:r>
            <w:r w:rsidRPr="002C1269">
              <w:t xml:space="preserve"> лікування</w:t>
            </w:r>
            <w:r>
              <w:t>):</w:t>
            </w:r>
          </w:p>
        </w:tc>
        <w:tc>
          <w:tcPr>
            <w:tcW w:w="5154" w:type="dxa"/>
          </w:tcPr>
          <w:p w14:paraId="03879D5C" w14:textId="77777777" w:rsidR="002C1269" w:rsidRDefault="002C1269" w:rsidP="00E2598D">
            <w:pPr>
              <w:tabs>
                <w:tab w:val="left" w:pos="277"/>
              </w:tabs>
              <w:jc w:val="both"/>
            </w:pPr>
            <w:r>
              <w:t>-</w:t>
            </w:r>
            <w:r>
              <w:tab/>
              <w:t>Блювання</w:t>
            </w:r>
            <w:r w:rsidRPr="00E2598D">
              <w:rPr>
                <w:vertAlign w:val="superscript"/>
              </w:rPr>
              <w:t>1</w:t>
            </w:r>
            <w:r>
              <w:t>, діарея</w:t>
            </w:r>
            <w:r w:rsidRPr="00E2598D">
              <w:rPr>
                <w:vertAlign w:val="superscript"/>
              </w:rPr>
              <w:t>2</w:t>
            </w:r>
          </w:p>
          <w:p w14:paraId="04AC7C89" w14:textId="77777777" w:rsidR="002C1269" w:rsidRDefault="002C1269" w:rsidP="00E2598D">
            <w:pPr>
              <w:tabs>
                <w:tab w:val="left" w:pos="277"/>
              </w:tabs>
              <w:jc w:val="both"/>
            </w:pPr>
            <w:r>
              <w:t>-</w:t>
            </w:r>
            <w:r>
              <w:tab/>
              <w:t>Анорексія</w:t>
            </w:r>
            <w:r w:rsidRPr="00E2598D">
              <w:rPr>
                <w:vertAlign w:val="superscript"/>
              </w:rPr>
              <w:t>2</w:t>
            </w:r>
            <w:r>
              <w:t>, летаргія</w:t>
            </w:r>
            <w:r w:rsidRPr="00E2598D">
              <w:rPr>
                <w:vertAlign w:val="superscript"/>
              </w:rPr>
              <w:t>2</w:t>
            </w:r>
          </w:p>
          <w:p w14:paraId="68324A64" w14:textId="77777777" w:rsidR="002C1269" w:rsidRDefault="002C1269" w:rsidP="00E2598D">
            <w:pPr>
              <w:tabs>
                <w:tab w:val="left" w:pos="277"/>
              </w:tabs>
              <w:jc w:val="both"/>
            </w:pPr>
            <w:r>
              <w:t>-</w:t>
            </w:r>
            <w:r>
              <w:tab/>
              <w:t>Підвищення частоти серцевих скорочень</w:t>
            </w:r>
            <w:r w:rsidRPr="00E2598D">
              <w:rPr>
                <w:vertAlign w:val="superscript"/>
              </w:rPr>
              <w:t>1,3</w:t>
            </w:r>
          </w:p>
          <w:p w14:paraId="53F8DCD8" w14:textId="6C5CC820" w:rsidR="00256D85" w:rsidRDefault="002C1269" w:rsidP="00E2598D">
            <w:pPr>
              <w:tabs>
                <w:tab w:val="left" w:pos="277"/>
              </w:tabs>
              <w:jc w:val="both"/>
            </w:pPr>
            <w:r>
              <w:t>-</w:t>
            </w:r>
            <w:r>
              <w:tab/>
              <w:t>Посилення регургітації мітрального клапана</w:t>
            </w:r>
            <w:r w:rsidRPr="00E2598D">
              <w:rPr>
                <w:vertAlign w:val="superscript"/>
              </w:rPr>
              <w:t>4</w:t>
            </w:r>
          </w:p>
        </w:tc>
      </w:tr>
      <w:tr w:rsidR="00256D85" w14:paraId="65CCCE7D" w14:textId="77777777" w:rsidTr="00256D85">
        <w:tc>
          <w:tcPr>
            <w:tcW w:w="5154" w:type="dxa"/>
          </w:tcPr>
          <w:p w14:paraId="503EA94C" w14:textId="77777777" w:rsidR="00256D85" w:rsidRDefault="002C1269" w:rsidP="005F0D6D">
            <w:pPr>
              <w:jc w:val="both"/>
            </w:pPr>
            <w:r>
              <w:t>Д</w:t>
            </w:r>
            <w:r w:rsidRPr="002C1269">
              <w:t>уже рідко</w:t>
            </w:r>
          </w:p>
          <w:p w14:paraId="017DD025" w14:textId="63D38FEC" w:rsidR="002C1269" w:rsidRDefault="002C1269" w:rsidP="005F0D6D">
            <w:pPr>
              <w:jc w:val="both"/>
            </w:pPr>
            <w:r>
              <w:t>(</w:t>
            </w:r>
            <w:r w:rsidRPr="002C1269">
              <w:t>менш ніж 1 тварин</w:t>
            </w:r>
            <w:r w:rsidRPr="00E2598D">
              <w:t>а</w:t>
            </w:r>
            <w:r w:rsidRPr="002C1269">
              <w:t xml:space="preserve"> з 10 000 тварин, які отримували лікування, включаючи окремі повідомлення</w:t>
            </w:r>
            <w:r>
              <w:t>):</w:t>
            </w:r>
          </w:p>
        </w:tc>
        <w:tc>
          <w:tcPr>
            <w:tcW w:w="5154" w:type="dxa"/>
          </w:tcPr>
          <w:p w14:paraId="52A6D882" w14:textId="55BC061E" w:rsidR="00256D85" w:rsidRDefault="002C1269" w:rsidP="00E2598D">
            <w:pPr>
              <w:tabs>
                <w:tab w:val="left" w:pos="239"/>
              </w:tabs>
              <w:jc w:val="both"/>
            </w:pPr>
            <w:r w:rsidRPr="002C1269">
              <w:t>-</w:t>
            </w:r>
            <w:r w:rsidRPr="002C1269">
              <w:tab/>
              <w:t>Петехії слизової оболонки</w:t>
            </w:r>
            <w:r w:rsidRPr="00E2598D">
              <w:rPr>
                <w:vertAlign w:val="superscript"/>
              </w:rPr>
              <w:t>5</w:t>
            </w:r>
            <w:r w:rsidRPr="002C1269">
              <w:t>, крововилив (підшкірний)</w:t>
            </w:r>
            <w:r w:rsidRPr="00E2598D">
              <w:rPr>
                <w:vertAlign w:val="superscript"/>
              </w:rPr>
              <w:t>5</w:t>
            </w:r>
          </w:p>
        </w:tc>
      </w:tr>
    </w:tbl>
    <w:p w14:paraId="12884E74" w14:textId="77777777" w:rsidR="008448B0" w:rsidRPr="00D73FC4" w:rsidRDefault="008448B0" w:rsidP="008448B0">
      <w:pPr>
        <w:ind w:firstLine="567"/>
        <w:jc w:val="both"/>
        <w:rPr>
          <w:sz w:val="20"/>
          <w:szCs w:val="20"/>
        </w:rPr>
      </w:pPr>
      <w:r w:rsidRPr="00D73FC4">
        <w:rPr>
          <w:sz w:val="20"/>
          <w:szCs w:val="20"/>
          <w:vertAlign w:val="superscript"/>
        </w:rPr>
        <w:t>1</w:t>
      </w:r>
      <w:r w:rsidRPr="00D73FC4">
        <w:rPr>
          <w:sz w:val="20"/>
          <w:szCs w:val="20"/>
        </w:rPr>
        <w:t xml:space="preserve"> Дозозалежні ефекти, яких можна уникнути шляхом зниження дози.</w:t>
      </w:r>
    </w:p>
    <w:p w14:paraId="12366B3F" w14:textId="77777777" w:rsidR="008448B0" w:rsidRPr="00D73FC4" w:rsidRDefault="008448B0" w:rsidP="008448B0">
      <w:pPr>
        <w:ind w:firstLine="567"/>
        <w:jc w:val="both"/>
        <w:rPr>
          <w:sz w:val="20"/>
          <w:szCs w:val="20"/>
        </w:rPr>
      </w:pPr>
      <w:r w:rsidRPr="00D73FC4">
        <w:rPr>
          <w:sz w:val="20"/>
          <w:szCs w:val="20"/>
          <w:vertAlign w:val="superscript"/>
        </w:rPr>
        <w:t>2</w:t>
      </w:r>
      <w:r w:rsidRPr="00D73FC4">
        <w:rPr>
          <w:sz w:val="20"/>
          <w:szCs w:val="20"/>
        </w:rPr>
        <w:t xml:space="preserve"> Тимчасові ефекти.</w:t>
      </w:r>
    </w:p>
    <w:p w14:paraId="4CBCFEB7" w14:textId="77777777" w:rsidR="008448B0" w:rsidRPr="00D73FC4" w:rsidRDefault="008448B0" w:rsidP="008448B0">
      <w:pPr>
        <w:ind w:firstLine="567"/>
        <w:jc w:val="both"/>
        <w:rPr>
          <w:sz w:val="20"/>
          <w:szCs w:val="20"/>
        </w:rPr>
      </w:pPr>
      <w:r w:rsidRPr="00D73FC4">
        <w:rPr>
          <w:sz w:val="20"/>
          <w:szCs w:val="20"/>
          <w:vertAlign w:val="superscript"/>
        </w:rPr>
        <w:t>3</w:t>
      </w:r>
      <w:r w:rsidRPr="00D73FC4">
        <w:rPr>
          <w:sz w:val="20"/>
          <w:szCs w:val="20"/>
        </w:rPr>
        <w:t xml:space="preserve"> Може виникнути легкий дозозалежний позитивний хронотропний ефект, якого можна уникнути шляхом зниження дози. </w:t>
      </w:r>
    </w:p>
    <w:p w14:paraId="0984A07B" w14:textId="77777777" w:rsidR="008448B0" w:rsidRPr="00D73FC4" w:rsidRDefault="008448B0" w:rsidP="008448B0">
      <w:pPr>
        <w:ind w:firstLine="567"/>
        <w:jc w:val="both"/>
        <w:rPr>
          <w:sz w:val="20"/>
          <w:szCs w:val="20"/>
        </w:rPr>
      </w:pPr>
      <w:r w:rsidRPr="00D73FC4">
        <w:rPr>
          <w:sz w:val="20"/>
          <w:szCs w:val="20"/>
          <w:vertAlign w:val="superscript"/>
        </w:rPr>
        <w:t>4</w:t>
      </w:r>
      <w:r w:rsidRPr="00D73FC4">
        <w:rPr>
          <w:sz w:val="20"/>
          <w:szCs w:val="20"/>
        </w:rPr>
        <w:t xml:space="preserve"> Спостерігається під час хронічного лікування пімобенданом собак з дегенерацією мітрального клапана.</w:t>
      </w:r>
    </w:p>
    <w:p w14:paraId="400D34AC" w14:textId="77777777" w:rsidR="008448B0" w:rsidRPr="00D73FC4" w:rsidRDefault="008448B0" w:rsidP="008448B0">
      <w:pPr>
        <w:ind w:firstLine="567"/>
        <w:jc w:val="both"/>
        <w:rPr>
          <w:sz w:val="20"/>
          <w:szCs w:val="20"/>
        </w:rPr>
      </w:pPr>
      <w:r w:rsidRPr="00D73FC4">
        <w:rPr>
          <w:sz w:val="20"/>
          <w:szCs w:val="20"/>
          <w:vertAlign w:val="superscript"/>
        </w:rPr>
        <w:t>5</w:t>
      </w:r>
      <w:r w:rsidRPr="00D73FC4">
        <w:rPr>
          <w:sz w:val="20"/>
          <w:szCs w:val="20"/>
        </w:rPr>
        <w:t xml:space="preserve"> Під час лікування можуть спостерігатися зміни первинного гемостазу, які зникають після відміни засобу. Причинний зв’язок із пімобенданом не підтверджений.</w:t>
      </w:r>
    </w:p>
    <w:bookmarkEnd w:id="6"/>
    <w:bookmarkEnd w:id="7"/>
    <w:p w14:paraId="35BF88C8" w14:textId="77777777" w:rsidR="00072B5F" w:rsidRPr="00EC121F" w:rsidRDefault="00072B5F" w:rsidP="004A1F46">
      <w:pPr>
        <w:ind w:firstLine="567"/>
        <w:jc w:val="both"/>
        <w:rPr>
          <w:b/>
        </w:rPr>
      </w:pPr>
      <w:r w:rsidRPr="00D73FC4">
        <w:rPr>
          <w:b/>
        </w:rPr>
        <w:t>5.5 Особливі</w:t>
      </w:r>
      <w:r w:rsidRPr="00EC121F">
        <w:rPr>
          <w:b/>
        </w:rPr>
        <w:t xml:space="preserve"> застереження при використанні</w:t>
      </w:r>
    </w:p>
    <w:p w14:paraId="0FEF3ACC" w14:textId="0DD24360" w:rsidR="005F0D6D" w:rsidRPr="00EC121F" w:rsidRDefault="005F0D6D" w:rsidP="005F0D6D">
      <w:pPr>
        <w:ind w:firstLine="567"/>
        <w:jc w:val="both"/>
      </w:pPr>
      <w:bookmarkStart w:id="8" w:name="_Hlk213779155"/>
      <w:r w:rsidRPr="00EC121F">
        <w:t>Слід регулярно перевіряти рівень глюкози в крові під час лікування собак</w:t>
      </w:r>
      <w:r w:rsidR="00712480">
        <w:t>,</w:t>
      </w:r>
      <w:r w:rsidRPr="00EC121F">
        <w:t xml:space="preserve"> </w:t>
      </w:r>
      <w:r w:rsidR="00712480" w:rsidRPr="00712480">
        <w:t>хворих на  цукровий діабет</w:t>
      </w:r>
      <w:r w:rsidRPr="00EC121F">
        <w:t>.</w:t>
      </w:r>
    </w:p>
    <w:p w14:paraId="67AF6B4A" w14:textId="28DA81D8" w:rsidR="005F0D6D" w:rsidRPr="00EC121F" w:rsidRDefault="005F0D6D" w:rsidP="005F0D6D">
      <w:pPr>
        <w:ind w:firstLine="567"/>
        <w:jc w:val="both"/>
      </w:pPr>
      <w:r w:rsidRPr="00EC121F">
        <w:t>Для застосування препарату з метою лікування дилатаційної кардіоміопатії на доклінічній стадії (безсимптомний перебіг зі збільшенням кінцево-систолічного і кінцево-діастолічного діаметра лівого шлуночка) необхідно провести діагностику шляхом комплексного серцевого обстеження</w:t>
      </w:r>
      <w:r w:rsidR="00EC121F" w:rsidRPr="00EC121F">
        <w:t>,</w:t>
      </w:r>
      <w:r w:rsidRPr="00EC121F">
        <w:t xml:space="preserve"> включаючи ехокардіографічне дослідження і, можливо, холтерівське моніторування.</w:t>
      </w:r>
    </w:p>
    <w:p w14:paraId="436AD8E4" w14:textId="77777777" w:rsidR="005F0D6D" w:rsidRPr="00EC121F" w:rsidRDefault="005F0D6D" w:rsidP="005F0D6D">
      <w:pPr>
        <w:ind w:firstLine="567"/>
        <w:jc w:val="both"/>
      </w:pPr>
      <w:r w:rsidRPr="00EC121F">
        <w:t>Рекомендується моніторинг серцевої функції та морфології у тварин, які отримують пімобендан.</w:t>
      </w:r>
    </w:p>
    <w:bookmarkEnd w:id="8"/>
    <w:p w14:paraId="6FB56C34" w14:textId="77777777" w:rsidR="00072B5F" w:rsidRPr="00EC121F" w:rsidRDefault="00072B5F" w:rsidP="008C213D">
      <w:pPr>
        <w:ind w:firstLine="567"/>
        <w:jc w:val="both"/>
        <w:rPr>
          <w:b/>
        </w:rPr>
      </w:pPr>
      <w:r w:rsidRPr="00EC121F">
        <w:rPr>
          <w:b/>
        </w:rPr>
        <w:t>5.6 Використання під час вагітності, лактації, несучості</w:t>
      </w:r>
    </w:p>
    <w:p w14:paraId="7C77346E" w14:textId="77777777" w:rsidR="00EC121F" w:rsidRPr="00EC121F" w:rsidRDefault="00EC121F" w:rsidP="00EC121F">
      <w:pPr>
        <w:ind w:left="567"/>
        <w:jc w:val="both"/>
      </w:pPr>
      <w:bookmarkStart w:id="9" w:name="_Hlk213779171"/>
      <w:r w:rsidRPr="00EC121F">
        <w:t xml:space="preserve">Безпечність препарату для вагітних і годуючих самок собак не оцінювали. </w:t>
      </w:r>
    </w:p>
    <w:p w14:paraId="495BED69" w14:textId="239989C4" w:rsidR="00EC121F" w:rsidRPr="00EC121F" w:rsidRDefault="00EC121F" w:rsidP="00EC121F">
      <w:pPr>
        <w:ind w:firstLine="567"/>
        <w:jc w:val="both"/>
        <w:rPr>
          <w:lang w:val="ru-RU"/>
        </w:rPr>
      </w:pPr>
      <w:r w:rsidRPr="00EC121F">
        <w:t xml:space="preserve">Препарат може застосовувати виключно лікар ветеринарної медицини відповідно до оцінки користі/ризику </w:t>
      </w:r>
      <w:r w:rsidR="00C740BB">
        <w:t xml:space="preserve">ветеринарного </w:t>
      </w:r>
      <w:r w:rsidRPr="00EC121F">
        <w:t>лікарського засобу.</w:t>
      </w:r>
    </w:p>
    <w:p w14:paraId="52910669" w14:textId="77777777" w:rsidR="006E01C5" w:rsidRPr="008448B0" w:rsidRDefault="008C213D" w:rsidP="006E01C5">
      <w:pPr>
        <w:ind w:firstLine="567"/>
        <w:jc w:val="both"/>
        <w:rPr>
          <w:lang w:val="ru-RU"/>
        </w:rPr>
      </w:pPr>
      <w:r w:rsidRPr="00EC121F">
        <w:t xml:space="preserve">Лабораторні дослідження на щурах і </w:t>
      </w:r>
      <w:r w:rsidR="00712480" w:rsidRPr="00712480">
        <w:t>кролях</w:t>
      </w:r>
      <w:r w:rsidRPr="00EC121F">
        <w:t xml:space="preserve"> не виявили будь-яких доказів тератогенної або фетотоксичної дії. Проте, ці дослідження показали наявність токсичної дії на вагітних самок та </w:t>
      </w:r>
      <w:r w:rsidR="001657B0" w:rsidRPr="00EC121F">
        <w:t xml:space="preserve">виявили </w:t>
      </w:r>
      <w:r w:rsidRPr="00EC121F">
        <w:t xml:space="preserve">ембріотоксичну дію </w:t>
      </w:r>
      <w:r w:rsidR="00712480">
        <w:t>за</w:t>
      </w:r>
      <w:r w:rsidRPr="00EC121F">
        <w:t xml:space="preserve"> застосуванн</w:t>
      </w:r>
      <w:r w:rsidR="00712480">
        <w:t>я</w:t>
      </w:r>
      <w:r w:rsidRPr="00EC121F">
        <w:t xml:space="preserve"> препарату у високих дозах, а також</w:t>
      </w:r>
      <w:r w:rsidR="001657B0" w:rsidRPr="00EC121F">
        <w:t xml:space="preserve"> те, що </w:t>
      </w:r>
      <w:r w:rsidR="00827B8E" w:rsidRPr="00EC121F">
        <w:t xml:space="preserve">пімобендан виділяється у молоко. </w:t>
      </w:r>
    </w:p>
    <w:p w14:paraId="33E9FDFE" w14:textId="40E955E5" w:rsidR="006E01C5" w:rsidRPr="00452CFF" w:rsidRDefault="006E01C5" w:rsidP="006E01C5">
      <w:pPr>
        <w:ind w:firstLine="567"/>
        <w:jc w:val="both"/>
        <w:rPr>
          <w:b/>
        </w:rPr>
      </w:pPr>
      <w:r w:rsidRPr="00452CFF">
        <w:rPr>
          <w:b/>
        </w:rPr>
        <w:t>5.7 Взаємодія з іншими засобами та інші форми взаємодії</w:t>
      </w:r>
    </w:p>
    <w:p w14:paraId="32C1D450" w14:textId="77777777" w:rsidR="006E01C5" w:rsidRPr="00B40B49" w:rsidRDefault="006E01C5" w:rsidP="006E01C5">
      <w:pPr>
        <w:ind w:firstLine="567"/>
        <w:jc w:val="both"/>
        <w:rPr>
          <w:color w:val="FF0000"/>
        </w:rPr>
      </w:pPr>
      <w:bookmarkStart w:id="10" w:name="_Hlk227675939"/>
      <w:bookmarkStart w:id="11" w:name="_Hlk213779194"/>
      <w:r w:rsidRPr="00712480">
        <w:t xml:space="preserve">Під час проведення </w:t>
      </w:r>
      <w:bookmarkEnd w:id="10"/>
      <w:r w:rsidRPr="00452CFF">
        <w:t>фармакологічних досліджен</w:t>
      </w:r>
      <w:r>
        <w:t>ь</w:t>
      </w:r>
      <w:r w:rsidRPr="00452CFF">
        <w:t xml:space="preserve"> не спостерігалося взаємодії між серцевим глікозидом строфантином і пімобенданом. Збільшення скорочувальної здатності серця, викликане пімобенданом, послаблюється антагоністами кальцію верапамілом і дилтіаземом та β-антагоністом пропранололом.</w:t>
      </w:r>
      <w:bookmarkEnd w:id="11"/>
    </w:p>
    <w:p w14:paraId="56D6A52C" w14:textId="77777777" w:rsidR="006E01C5" w:rsidRPr="00940151" w:rsidRDefault="006E01C5" w:rsidP="006E01C5">
      <w:pPr>
        <w:ind w:firstLine="567"/>
        <w:jc w:val="both"/>
        <w:rPr>
          <w:b/>
        </w:rPr>
      </w:pPr>
      <w:r w:rsidRPr="00940151">
        <w:rPr>
          <w:b/>
        </w:rPr>
        <w:t>5.8 Дози і способи введення тваринам різного віку</w:t>
      </w:r>
    </w:p>
    <w:p w14:paraId="038B6D2B" w14:textId="77777777" w:rsidR="006E01C5" w:rsidRPr="00B40B49" w:rsidRDefault="006E01C5" w:rsidP="006E01C5">
      <w:pPr>
        <w:ind w:firstLine="567"/>
        <w:jc w:val="both"/>
        <w:rPr>
          <w:lang w:val="ru-RU"/>
        </w:rPr>
      </w:pPr>
      <w:r w:rsidRPr="00712480">
        <w:t>Перорально.</w:t>
      </w:r>
    </w:p>
    <w:p w14:paraId="16E7B87B" w14:textId="77777777" w:rsidR="006E01C5" w:rsidRPr="00C740BB" w:rsidRDefault="006E01C5" w:rsidP="006E01C5">
      <w:pPr>
        <w:ind w:firstLine="567"/>
        <w:jc w:val="both"/>
      </w:pPr>
      <w:r w:rsidRPr="00C740BB">
        <w:t>Не струшуйте флакон перед або під час застосування, щоб уникнути утворення піни.</w:t>
      </w:r>
    </w:p>
    <w:p w14:paraId="43997D05" w14:textId="77777777" w:rsidR="00FD0AC8" w:rsidRPr="00C740BB" w:rsidRDefault="00FD0AC8" w:rsidP="00FD0AC8">
      <w:pPr>
        <w:ind w:firstLine="567"/>
        <w:jc w:val="both"/>
      </w:pPr>
      <w:r w:rsidRPr="00C740BB">
        <w:t>Перед початком лікування необхідно визначити точну масу тіла тварини, щоб забезпечити правильне дозування.</w:t>
      </w:r>
    </w:p>
    <w:p w14:paraId="76EFC94E" w14:textId="77777777" w:rsidR="005F0D6D" w:rsidRPr="00C740BB" w:rsidRDefault="005F0D6D" w:rsidP="005F0D6D">
      <w:pPr>
        <w:ind w:firstLine="567"/>
        <w:jc w:val="both"/>
        <w:rPr>
          <w:lang w:val="ru-RU"/>
        </w:rPr>
      </w:pPr>
      <w:bookmarkStart w:id="12" w:name="_Hlk213779067"/>
      <w:bookmarkEnd w:id="9"/>
      <w:r w:rsidRPr="00C740BB">
        <w:t>Слід дотримуватися дозування від 0,2 мг до 0,6 мг пімобендану на 1 кг маси тіла, розділеного на два прийоми за добу.</w:t>
      </w:r>
    </w:p>
    <w:p w14:paraId="680AA37A" w14:textId="3AA1FBAB" w:rsidR="005F0D6D" w:rsidRDefault="005F0D6D" w:rsidP="005F0D6D">
      <w:pPr>
        <w:ind w:firstLine="567"/>
        <w:jc w:val="both"/>
      </w:pPr>
      <w:r w:rsidRPr="00C740BB">
        <w:t>Рекомендована добова доза становить 0,5 мг пімобендану на 1 кг маси тіла, розділена на два прийоми</w:t>
      </w:r>
      <w:r w:rsidR="00C740BB" w:rsidRPr="00C740BB">
        <w:t xml:space="preserve"> з інтервалом приблизно 12 годин (тобто 0,25 мг пімобендану на 1 кг маси тіла, що еквівалентно 0,17 мл ветеринарного лікарського засобу двічі на добу).</w:t>
      </w:r>
    </w:p>
    <w:p w14:paraId="3B293A54" w14:textId="77777777" w:rsidR="00024579" w:rsidRDefault="00024579" w:rsidP="005F0D6D">
      <w:pPr>
        <w:ind w:firstLine="567"/>
        <w:jc w:val="both"/>
      </w:pPr>
    </w:p>
    <w:p w14:paraId="3E5DA83A" w14:textId="77777777" w:rsidR="00024579" w:rsidRPr="00452CFF" w:rsidRDefault="00024579" w:rsidP="00024579">
      <w:pPr>
        <w:ind w:left="5760" w:firstLine="720"/>
        <w:jc w:val="right"/>
      </w:pPr>
      <w:bookmarkStart w:id="13" w:name="_Hlk213921207"/>
      <w:r w:rsidRPr="00452CFF">
        <w:lastRenderedPageBreak/>
        <w:t xml:space="preserve">Продовження додатку 1                                                                                   </w:t>
      </w:r>
    </w:p>
    <w:p w14:paraId="2A0B83A0" w14:textId="77777777" w:rsidR="00024579" w:rsidRPr="00452CFF" w:rsidRDefault="00024579" w:rsidP="00024579">
      <w:pPr>
        <w:ind w:firstLine="567"/>
        <w:jc w:val="right"/>
      </w:pPr>
      <w:r w:rsidRPr="00452CFF">
        <w:t xml:space="preserve"> до реєстраційного посвідчення </w:t>
      </w:r>
      <w:r w:rsidRPr="00F23197">
        <w:t>АА-10054-01-26</w:t>
      </w:r>
    </w:p>
    <w:bookmarkEnd w:id="13"/>
    <w:p w14:paraId="37AF6DFA" w14:textId="77777777" w:rsidR="00024579" w:rsidRDefault="00024579" w:rsidP="005F0D6D">
      <w:pPr>
        <w:ind w:firstLine="567"/>
        <w:jc w:val="both"/>
      </w:pPr>
    </w:p>
    <w:p w14:paraId="146838CA" w14:textId="77777777" w:rsidR="00024579" w:rsidRDefault="00024579" w:rsidP="00DF08CE">
      <w:pPr>
        <w:ind w:firstLine="567"/>
        <w:jc w:val="both"/>
      </w:pPr>
    </w:p>
    <w:p w14:paraId="40FB46A9" w14:textId="27C0D83E" w:rsidR="00DF08CE" w:rsidRDefault="00DF08CE" w:rsidP="00DF08CE">
      <w:pPr>
        <w:ind w:firstLine="567"/>
        <w:jc w:val="both"/>
      </w:pPr>
      <w:r w:rsidRPr="00DF08CE">
        <w:t xml:space="preserve">Розчин слід вводити за допомогою шприца-дозатора, який міститься в упаковці. </w:t>
      </w:r>
      <w:r>
        <w:t>Шприц</w:t>
      </w:r>
      <w:r w:rsidRPr="00DF08CE">
        <w:t>-дозатор</w:t>
      </w:r>
      <w:r>
        <w:t xml:space="preserve"> має шкалу маси тіла в кілограмах з кроком 0,5 кг до маси тіла 12 кг та підходить до </w:t>
      </w:r>
      <w:r w:rsidRPr="00DF08CE">
        <w:t>флакон</w:t>
      </w:r>
      <w:r>
        <w:t xml:space="preserve">у. Кожен крок у 1 кг відповідає 0,25 мг пімобендану. </w:t>
      </w:r>
      <w:r w:rsidR="00AF5F56" w:rsidRPr="00AF5F56">
        <w:t xml:space="preserve">Для розрахунку дози </w:t>
      </w:r>
      <w:r w:rsidR="00712480">
        <w:t>за</w:t>
      </w:r>
      <w:r w:rsidR="00AF5F56" w:rsidRPr="00AF5F56">
        <w:t xml:space="preserve"> кожно</w:t>
      </w:r>
      <w:r w:rsidR="00712480">
        <w:t>го</w:t>
      </w:r>
      <w:r w:rsidR="00AF5F56" w:rsidRPr="00AF5F56">
        <w:t xml:space="preserve"> застосуванн</w:t>
      </w:r>
      <w:r w:rsidR="00712480">
        <w:t>я</w:t>
      </w:r>
      <w:r w:rsidR="00AF5F56" w:rsidRPr="00AF5F56">
        <w:t xml:space="preserve"> слід використовувати загальну масу тіла тварини.</w:t>
      </w:r>
      <w:r w:rsidR="008E055B">
        <w:t xml:space="preserve"> </w:t>
      </w:r>
      <w:r w:rsidR="008E055B" w:rsidRPr="008E055B">
        <w:t>Наприклад, для собаки масою тіла 6 кг ветеринарний лікарський засіб набирають у шприц</w:t>
      </w:r>
      <w:r w:rsidR="008E055B">
        <w:t>-</w:t>
      </w:r>
      <w:r w:rsidR="008E055B" w:rsidRPr="008E055B">
        <w:t xml:space="preserve">дозатор до позначки «6 кг» </w:t>
      </w:r>
      <w:r w:rsidR="00712480">
        <w:t>за</w:t>
      </w:r>
      <w:r w:rsidR="008E055B" w:rsidRPr="008E055B">
        <w:t xml:space="preserve"> кожно</w:t>
      </w:r>
      <w:r w:rsidR="00712480">
        <w:t>го</w:t>
      </w:r>
      <w:r w:rsidR="008E055B" w:rsidRPr="008E055B">
        <w:t xml:space="preserve"> введенн</w:t>
      </w:r>
      <w:r w:rsidR="00712480">
        <w:t>я</w:t>
      </w:r>
      <w:r w:rsidR="008E055B" w:rsidRPr="008E055B">
        <w:t xml:space="preserve"> двічі на добу. Така доза для собаки масою 6 кг, що вводиться двічі на добу, відповідає рекомендованій дозі 0,25 мг пімобендану на </w:t>
      </w:r>
      <w:r w:rsidR="008E055B">
        <w:t xml:space="preserve">1 </w:t>
      </w:r>
      <w:r w:rsidR="008E055B" w:rsidRPr="008E055B">
        <w:t xml:space="preserve">кг маси тіла. </w:t>
      </w:r>
      <w:r w:rsidR="00FD289B" w:rsidRPr="00FD289B">
        <w:t>Не перевищуйте рекомендовану дозу.</w:t>
      </w:r>
    </w:p>
    <w:p w14:paraId="763F401F" w14:textId="627AB960" w:rsidR="008E147F" w:rsidRDefault="008E147F" w:rsidP="00DF08CE">
      <w:pPr>
        <w:ind w:firstLine="567"/>
        <w:jc w:val="both"/>
      </w:pPr>
      <w:r w:rsidRPr="008E147F">
        <w:t xml:space="preserve">Кожну дозу необхідно вводити безпосередньо в ротову порожнину натщесерце, щонайменше за одну годину до годування. Після </w:t>
      </w:r>
      <w:r>
        <w:t>застосування</w:t>
      </w:r>
      <w:r w:rsidRPr="008E147F">
        <w:t xml:space="preserve"> щільно закрийте флакон кришкою. Після кожного використання очистіть зовнішню поверхню шприца</w:t>
      </w:r>
      <w:r>
        <w:t>-дозатора</w:t>
      </w:r>
      <w:r w:rsidRPr="008E147F">
        <w:t xml:space="preserve">, протерши її чистою сухою тканиною або серветкою. Забруднену серветку слід негайно утилізувати. Якщо шприц </w:t>
      </w:r>
      <w:r w:rsidR="00E85592" w:rsidRPr="00E85592">
        <w:t>забруднився</w:t>
      </w:r>
      <w:r w:rsidRPr="008E147F">
        <w:t xml:space="preserve">, промийте його водою, не виймаючи поршень, і протріть зовнішню поверхню шприца насухо чистою тканиною або серветкою. Щоб уникнути забруднення, використовуйте наданий шприц тільки для введення цього розчину для перорального застосування. </w:t>
      </w:r>
      <w:r w:rsidR="00E85592">
        <w:t>Ш</w:t>
      </w:r>
      <w:r w:rsidRPr="008E147F">
        <w:t xml:space="preserve">приц </w:t>
      </w:r>
      <w:r w:rsidR="00143D1C">
        <w:t>необхідно</w:t>
      </w:r>
      <w:r w:rsidRPr="008E147F">
        <w:t xml:space="preserve"> зберігати разом з ветеринарним лікарським засобом в оригінальній картонній упаковці.</w:t>
      </w:r>
    </w:p>
    <w:p w14:paraId="5F374959" w14:textId="77777777" w:rsidR="00143D1C" w:rsidRPr="00143D1C" w:rsidRDefault="00143D1C" w:rsidP="00143D1C">
      <w:pPr>
        <w:ind w:firstLine="567"/>
        <w:jc w:val="both"/>
      </w:pPr>
      <w:r w:rsidRPr="00143D1C">
        <w:t>Пімобендан можна також застосовувати в поєднанні з діуретиком, наприклад фуросемідом.</w:t>
      </w:r>
    </w:p>
    <w:p w14:paraId="19B686E3" w14:textId="3A3C989C" w:rsidR="00275F79" w:rsidRDefault="00D67109" w:rsidP="00D67109">
      <w:pPr>
        <w:jc w:val="both"/>
        <w:rPr>
          <w:u w:val="single"/>
        </w:rPr>
      </w:pPr>
      <w:r w:rsidRPr="00D67109">
        <w:rPr>
          <w:u w:val="single"/>
        </w:rPr>
        <w:t>Рекомендації щодо правильного застосування</w:t>
      </w:r>
    </w:p>
    <w:p w14:paraId="66626DE9" w14:textId="2561724D" w:rsidR="00D9085D" w:rsidRDefault="00D67109" w:rsidP="00CF20E0">
      <w:pPr>
        <w:jc w:val="both"/>
      </w:pPr>
      <w:r w:rsidRPr="00275F79">
        <w:rPr>
          <w:noProof/>
          <w:u w:val="single"/>
        </w:rPr>
        <w:drawing>
          <wp:anchor distT="0" distB="0" distL="114300" distR="114300" simplePos="0" relativeHeight="251656192" behindDoc="0" locked="0" layoutInCell="1" allowOverlap="1" wp14:anchorId="44001F53" wp14:editId="52638566">
            <wp:simplePos x="0" y="0"/>
            <wp:positionH relativeFrom="column">
              <wp:posOffset>-140512</wp:posOffset>
            </wp:positionH>
            <wp:positionV relativeFrom="paragraph">
              <wp:posOffset>182829</wp:posOffset>
            </wp:positionV>
            <wp:extent cx="924560" cy="2743200"/>
            <wp:effectExtent l="0" t="0" r="8890" b="0"/>
            <wp:wrapSquare wrapText="bothSides"/>
            <wp:docPr id="481931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456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FE84FB" w14:textId="1A811DD6" w:rsidR="00CF20E0" w:rsidRPr="00CF20E0" w:rsidRDefault="00CF20E0" w:rsidP="00CF20E0">
      <w:pPr>
        <w:jc w:val="both"/>
      </w:pPr>
      <w:r w:rsidRPr="00CF20E0">
        <w:t xml:space="preserve">Ветеринарний лікарський засіб складається з флакона, закритого кришкою, захищеною від дітей, </w:t>
      </w:r>
      <w:r w:rsidRPr="00CF20E0">
        <w:rPr>
          <w:b/>
          <w:bCs/>
        </w:rPr>
        <w:t>A</w:t>
      </w:r>
      <w:r w:rsidRPr="00CF20E0">
        <w:t>, другої кришки, захищеної від дітей, з вбудованим адаптером для підключення</w:t>
      </w:r>
      <w:r>
        <w:t xml:space="preserve"> </w:t>
      </w:r>
      <w:r w:rsidRPr="00CF20E0">
        <w:rPr>
          <w:b/>
          <w:bCs/>
        </w:rPr>
        <w:t>B</w:t>
      </w:r>
      <w:r w:rsidRPr="00CF20E0">
        <w:t>, та шприца</w:t>
      </w:r>
      <w:r>
        <w:t>-дозатора</w:t>
      </w:r>
      <w:r w:rsidRPr="00CF20E0">
        <w:t xml:space="preserve"> з шкалою для вимірювання маси тіла в кі</w:t>
      </w:r>
      <w:r>
        <w:t xml:space="preserve">лограмах </w:t>
      </w:r>
      <w:r w:rsidRPr="00CF20E0">
        <w:rPr>
          <w:b/>
          <w:bCs/>
        </w:rPr>
        <w:t>С.</w:t>
      </w:r>
    </w:p>
    <w:p w14:paraId="301B131E" w14:textId="299CFD6A" w:rsidR="00CF20E0" w:rsidRDefault="00CF20E0" w:rsidP="00DF08CE">
      <w:pPr>
        <w:ind w:firstLine="567"/>
        <w:jc w:val="both"/>
        <w:rPr>
          <w:u w:val="single"/>
        </w:rPr>
      </w:pPr>
    </w:p>
    <w:p w14:paraId="5FA03440" w14:textId="77777777" w:rsidR="00A74D21" w:rsidRPr="008448B0" w:rsidRDefault="00A74D21" w:rsidP="00D67109">
      <w:pPr>
        <w:jc w:val="both"/>
      </w:pPr>
    </w:p>
    <w:p w14:paraId="543FAC2C" w14:textId="5E398495" w:rsidR="00D67109" w:rsidRPr="00D67109" w:rsidRDefault="00D67109" w:rsidP="00D67109">
      <w:pPr>
        <w:jc w:val="both"/>
      </w:pPr>
      <w:r w:rsidRPr="00D67109">
        <w:t>Не струшуйте флакон перед використанням (це запобігає утворенню піни).</w:t>
      </w:r>
    </w:p>
    <w:p w14:paraId="4EB4D811" w14:textId="0BF1C390" w:rsidR="00D67109" w:rsidRPr="00D67109" w:rsidRDefault="00D67109" w:rsidP="00D67109">
      <w:pPr>
        <w:jc w:val="both"/>
      </w:pPr>
      <w:r w:rsidRPr="00D67109">
        <w:t>Відкрийте флакон у вертикальному положенні, натиснувши на кришку з захистом від дітей</w:t>
      </w:r>
      <w:r>
        <w:t xml:space="preserve"> </w:t>
      </w:r>
      <w:r w:rsidRPr="00D67109">
        <w:rPr>
          <w:b/>
          <w:bCs/>
        </w:rPr>
        <w:t>A</w:t>
      </w:r>
      <w:r>
        <w:t>,</w:t>
      </w:r>
      <w:r w:rsidRPr="00D67109">
        <w:t xml:space="preserve"> одночасно повертаючи кришку проти годинникової стрілки.</w:t>
      </w:r>
    </w:p>
    <w:p w14:paraId="7314043A" w14:textId="0AD1E703" w:rsidR="00CF20E0" w:rsidRDefault="00D67109" w:rsidP="00D67109">
      <w:pPr>
        <w:jc w:val="both"/>
        <w:rPr>
          <w:b/>
          <w:bCs/>
        </w:rPr>
      </w:pPr>
      <w:r w:rsidRPr="00D67109">
        <w:t xml:space="preserve">Викиньте білу кришку </w:t>
      </w:r>
      <w:r w:rsidRPr="00D67109">
        <w:rPr>
          <w:b/>
          <w:bCs/>
        </w:rPr>
        <w:t>A.</w:t>
      </w:r>
    </w:p>
    <w:p w14:paraId="6A000563" w14:textId="77777777" w:rsidR="00D67109" w:rsidRDefault="00D67109" w:rsidP="00D67109">
      <w:pPr>
        <w:jc w:val="both"/>
        <w:rPr>
          <w:b/>
          <w:bCs/>
        </w:rPr>
      </w:pPr>
    </w:p>
    <w:p w14:paraId="4A4451EA" w14:textId="0E2C4867" w:rsidR="00275F79" w:rsidRPr="00275F79" w:rsidRDefault="00D67109" w:rsidP="00D67109">
      <w:pPr>
        <w:jc w:val="both"/>
        <w:rPr>
          <w:u w:val="single"/>
        </w:rPr>
      </w:pPr>
      <w:r>
        <w:t xml:space="preserve">Щільно закрийте флакон за допомогою кришки </w:t>
      </w:r>
      <w:r w:rsidRPr="00D67109">
        <w:rPr>
          <w:b/>
          <w:bCs/>
        </w:rPr>
        <w:t>B</w:t>
      </w:r>
      <w:r>
        <w:t xml:space="preserve"> і одночасно поверніть кришку за годинниковою стрілкою. Кришка </w:t>
      </w:r>
      <w:r w:rsidRPr="00D67109">
        <w:rPr>
          <w:b/>
          <w:bCs/>
        </w:rPr>
        <w:t>B</w:t>
      </w:r>
      <w:r>
        <w:t xml:space="preserve"> містить вбудований адаптер для підключення, який повинен автоматично приєднатися до флакона </w:t>
      </w:r>
      <w:r w:rsidRPr="00D67109">
        <w:rPr>
          <w:b/>
          <w:bCs/>
        </w:rPr>
        <w:t>A</w:t>
      </w:r>
      <w:r>
        <w:t>. Переконайтеся, що кришка щільно закрита, щоб правильно вставити вилку.</w:t>
      </w:r>
    </w:p>
    <w:p w14:paraId="38A41743" w14:textId="47837782" w:rsidR="00B664AD" w:rsidRPr="00452CFF" w:rsidRDefault="00B664AD" w:rsidP="00B664AD">
      <w:pPr>
        <w:ind w:left="5760" w:firstLine="720"/>
        <w:jc w:val="right"/>
      </w:pPr>
      <w:r w:rsidRPr="003432F2">
        <w:rPr>
          <w:b/>
          <w:noProof/>
          <w:color w:val="FF0000"/>
        </w:rPr>
        <w:drawing>
          <wp:anchor distT="0" distB="0" distL="114300" distR="114300" simplePos="0" relativeHeight="251658240" behindDoc="0" locked="0" layoutInCell="1" allowOverlap="1" wp14:anchorId="25CC9305" wp14:editId="31F38CFD">
            <wp:simplePos x="0" y="0"/>
            <wp:positionH relativeFrom="column">
              <wp:posOffset>-1070432</wp:posOffset>
            </wp:positionH>
            <wp:positionV relativeFrom="paragraph">
              <wp:posOffset>89560</wp:posOffset>
            </wp:positionV>
            <wp:extent cx="944245" cy="917575"/>
            <wp:effectExtent l="0" t="0" r="8255" b="0"/>
            <wp:wrapSquare wrapText="bothSides"/>
            <wp:docPr id="15591966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4245" cy="917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2CFF">
        <w:t xml:space="preserve">                                                                                  </w:t>
      </w:r>
    </w:p>
    <w:p w14:paraId="70BFFC8A" w14:textId="1CC4AA0E" w:rsidR="00976B92" w:rsidRPr="002550CB" w:rsidRDefault="00976B92" w:rsidP="00976B92">
      <w:pPr>
        <w:jc w:val="both"/>
        <w:rPr>
          <w:bCs/>
        </w:rPr>
      </w:pPr>
      <w:r w:rsidRPr="002550CB">
        <w:rPr>
          <w:bCs/>
        </w:rPr>
        <w:t xml:space="preserve">Зніміть кришку </w:t>
      </w:r>
      <w:r w:rsidRPr="00E122D1">
        <w:rPr>
          <w:b/>
        </w:rPr>
        <w:t>B</w:t>
      </w:r>
      <w:r w:rsidRPr="002550CB">
        <w:rPr>
          <w:bCs/>
        </w:rPr>
        <w:t xml:space="preserve"> з </w:t>
      </w:r>
      <w:r>
        <w:rPr>
          <w:bCs/>
        </w:rPr>
        <w:t>флакону</w:t>
      </w:r>
      <w:r w:rsidRPr="002550CB">
        <w:rPr>
          <w:bCs/>
        </w:rPr>
        <w:t>, натиснувши на кришку з захистом від дітей</w:t>
      </w:r>
      <w:r>
        <w:rPr>
          <w:bCs/>
        </w:rPr>
        <w:t xml:space="preserve"> </w:t>
      </w:r>
      <w:r w:rsidRPr="002550CB">
        <w:rPr>
          <w:bCs/>
        </w:rPr>
        <w:t>і одночасно повертаючи кришку проти годинникової стрілки, а потім</w:t>
      </w:r>
      <w:r>
        <w:rPr>
          <w:bCs/>
        </w:rPr>
        <w:t xml:space="preserve"> </w:t>
      </w:r>
      <w:r w:rsidRPr="002550CB">
        <w:rPr>
          <w:bCs/>
        </w:rPr>
        <w:t xml:space="preserve">акуратно натисніть кінцем дозуючого шприца </w:t>
      </w:r>
      <w:r w:rsidRPr="00E122D1">
        <w:rPr>
          <w:b/>
        </w:rPr>
        <w:t>C</w:t>
      </w:r>
      <w:r w:rsidRPr="002550CB">
        <w:rPr>
          <w:bCs/>
        </w:rPr>
        <w:t xml:space="preserve"> на пробку </w:t>
      </w:r>
      <w:r>
        <w:rPr>
          <w:bCs/>
        </w:rPr>
        <w:t>флакона</w:t>
      </w:r>
      <w:r w:rsidRPr="002550CB">
        <w:rPr>
          <w:bCs/>
        </w:rPr>
        <w:t>.</w:t>
      </w:r>
    </w:p>
    <w:p w14:paraId="6DBDA0FF" w14:textId="10AE7247" w:rsidR="002550CB" w:rsidRPr="002550CB" w:rsidRDefault="00976B92" w:rsidP="002550CB">
      <w:pPr>
        <w:jc w:val="both"/>
        <w:rPr>
          <w:bCs/>
        </w:rPr>
      </w:pPr>
      <w:r w:rsidRPr="001D4006">
        <w:rPr>
          <w:bCs/>
        </w:rPr>
        <w:t>Нахиліть флакон/шприц-дозатор донизу</w:t>
      </w:r>
      <w:r>
        <w:rPr>
          <w:bCs/>
        </w:rPr>
        <w:t>.</w:t>
      </w:r>
      <w:r w:rsidR="006E01C5" w:rsidRPr="006E01C5">
        <w:rPr>
          <w:bCs/>
          <w:lang w:val="ru-RU"/>
        </w:rPr>
        <w:t xml:space="preserve"> </w:t>
      </w:r>
      <w:r w:rsidR="001D4006" w:rsidRPr="001D4006">
        <w:rPr>
          <w:bCs/>
        </w:rPr>
        <w:t>Потягніть поршень до значення градуювання на шприці, що відповідає потрібній кількості мл препарату.</w:t>
      </w:r>
    </w:p>
    <w:p w14:paraId="1ED63D37" w14:textId="203C82A9" w:rsidR="002550CB" w:rsidRPr="002550CB" w:rsidRDefault="002550CB" w:rsidP="002550CB">
      <w:pPr>
        <w:jc w:val="both"/>
        <w:rPr>
          <w:bCs/>
        </w:rPr>
      </w:pPr>
      <w:r>
        <w:rPr>
          <w:bCs/>
        </w:rPr>
        <w:t xml:space="preserve"> </w:t>
      </w:r>
      <w:r w:rsidRPr="002550CB">
        <w:rPr>
          <w:bCs/>
        </w:rPr>
        <w:t xml:space="preserve">Поверніть </w:t>
      </w:r>
      <w:r w:rsidR="001D4006">
        <w:rPr>
          <w:bCs/>
        </w:rPr>
        <w:t>флакон</w:t>
      </w:r>
      <w:r w:rsidRPr="002550CB">
        <w:rPr>
          <w:bCs/>
        </w:rPr>
        <w:t xml:space="preserve"> вертикально </w:t>
      </w:r>
      <w:r w:rsidR="001D4006">
        <w:rPr>
          <w:bCs/>
        </w:rPr>
        <w:t>та в</w:t>
      </w:r>
      <w:r w:rsidR="001D4006" w:rsidRPr="001D4006">
        <w:rPr>
          <w:bCs/>
        </w:rPr>
        <w:t>итягніть шприц-дозатор із флакона.</w:t>
      </w:r>
    </w:p>
    <w:p w14:paraId="1BF73416" w14:textId="4C6D5B9F" w:rsidR="002550CB" w:rsidRPr="002550CB" w:rsidRDefault="006E01C5" w:rsidP="002550CB">
      <w:pPr>
        <w:jc w:val="both"/>
        <w:rPr>
          <w:bCs/>
        </w:rPr>
      </w:pPr>
      <w:r w:rsidRPr="002550CB">
        <w:rPr>
          <w:bCs/>
          <w:noProof/>
        </w:rPr>
        <w:drawing>
          <wp:anchor distT="0" distB="0" distL="114300" distR="114300" simplePos="0" relativeHeight="251660288" behindDoc="0" locked="0" layoutInCell="1" allowOverlap="1" wp14:anchorId="1A243830" wp14:editId="29477640">
            <wp:simplePos x="0" y="0"/>
            <wp:positionH relativeFrom="column">
              <wp:posOffset>-163195</wp:posOffset>
            </wp:positionH>
            <wp:positionV relativeFrom="paragraph">
              <wp:posOffset>222529</wp:posOffset>
            </wp:positionV>
            <wp:extent cx="863600" cy="847090"/>
            <wp:effectExtent l="0" t="0" r="0" b="0"/>
            <wp:wrapSquare wrapText="bothSides"/>
            <wp:docPr id="2498061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3600" cy="847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50CB">
        <w:rPr>
          <w:bCs/>
        </w:rPr>
        <w:t xml:space="preserve"> </w:t>
      </w:r>
      <w:r w:rsidR="002550CB" w:rsidRPr="002550CB">
        <w:rPr>
          <w:bCs/>
        </w:rPr>
        <w:t xml:space="preserve">Закрийте </w:t>
      </w:r>
      <w:r w:rsidR="001D4006">
        <w:rPr>
          <w:bCs/>
        </w:rPr>
        <w:t>флакон</w:t>
      </w:r>
      <w:r w:rsidR="002550CB" w:rsidRPr="002550CB">
        <w:rPr>
          <w:bCs/>
        </w:rPr>
        <w:t xml:space="preserve"> кришкою </w:t>
      </w:r>
      <w:r w:rsidR="002550CB" w:rsidRPr="00E122D1">
        <w:rPr>
          <w:b/>
        </w:rPr>
        <w:t>B</w:t>
      </w:r>
      <w:r w:rsidR="002550CB" w:rsidRPr="002550CB">
        <w:rPr>
          <w:bCs/>
        </w:rPr>
        <w:t>.</w:t>
      </w:r>
    </w:p>
    <w:p w14:paraId="77576F27" w14:textId="77777777" w:rsidR="006E01C5" w:rsidRPr="008448B0" w:rsidRDefault="002550CB" w:rsidP="002550CB">
      <w:pPr>
        <w:jc w:val="both"/>
        <w:rPr>
          <w:bCs/>
          <w:lang w:val="ru-RU"/>
        </w:rPr>
      </w:pPr>
      <w:r>
        <w:rPr>
          <w:bCs/>
        </w:rPr>
        <w:t xml:space="preserve"> </w:t>
      </w:r>
    </w:p>
    <w:p w14:paraId="35AD2F13" w14:textId="35902E92" w:rsidR="00CF20E0" w:rsidRDefault="002550CB" w:rsidP="002550CB">
      <w:pPr>
        <w:jc w:val="both"/>
        <w:rPr>
          <w:b/>
          <w:color w:val="FF0000"/>
        </w:rPr>
      </w:pPr>
      <w:r w:rsidRPr="002550CB">
        <w:rPr>
          <w:bCs/>
        </w:rPr>
        <w:t>Вставте кінець шприца</w:t>
      </w:r>
      <w:r w:rsidR="001D4006">
        <w:rPr>
          <w:bCs/>
        </w:rPr>
        <w:t>-дозатора</w:t>
      </w:r>
      <w:r w:rsidRPr="002550CB">
        <w:rPr>
          <w:bCs/>
        </w:rPr>
        <w:t xml:space="preserve"> </w:t>
      </w:r>
      <w:r w:rsidRPr="00D15ADA">
        <w:rPr>
          <w:b/>
        </w:rPr>
        <w:t>C</w:t>
      </w:r>
      <w:r w:rsidRPr="002550CB">
        <w:rPr>
          <w:bCs/>
        </w:rPr>
        <w:t xml:space="preserve"> </w:t>
      </w:r>
      <w:r w:rsidR="001D4006" w:rsidRPr="001D4006">
        <w:rPr>
          <w:bCs/>
        </w:rPr>
        <w:t xml:space="preserve">безпосередньо в ротову порожнину </w:t>
      </w:r>
      <w:r w:rsidRPr="002550CB">
        <w:rPr>
          <w:bCs/>
        </w:rPr>
        <w:t>собаки і натисніть на</w:t>
      </w:r>
      <w:r>
        <w:rPr>
          <w:bCs/>
        </w:rPr>
        <w:t xml:space="preserve"> </w:t>
      </w:r>
      <w:r w:rsidRPr="002550CB">
        <w:rPr>
          <w:bCs/>
        </w:rPr>
        <w:t>поршень, щоб ввести призначену дозу.</w:t>
      </w:r>
    </w:p>
    <w:bookmarkEnd w:id="12"/>
    <w:p w14:paraId="0A13C9EF" w14:textId="77777777" w:rsidR="006E01C5" w:rsidRPr="006E01C5" w:rsidRDefault="006E01C5" w:rsidP="004A1F46">
      <w:pPr>
        <w:ind w:firstLine="567"/>
        <w:jc w:val="both"/>
        <w:rPr>
          <w:b/>
          <w:lang w:val="ru-RU"/>
        </w:rPr>
      </w:pPr>
    </w:p>
    <w:p w14:paraId="1B98B8B5" w14:textId="77777777" w:rsidR="00FD0AC8" w:rsidRPr="00F23197" w:rsidRDefault="00FD0AC8" w:rsidP="006E01C5">
      <w:pPr>
        <w:jc w:val="right"/>
        <w:rPr>
          <w:lang w:val="ru-RU"/>
        </w:rPr>
      </w:pPr>
    </w:p>
    <w:p w14:paraId="149448A0" w14:textId="77777777" w:rsidR="00FD0AC8" w:rsidRPr="00F23197" w:rsidRDefault="00FD0AC8" w:rsidP="006E01C5">
      <w:pPr>
        <w:jc w:val="right"/>
        <w:rPr>
          <w:lang w:val="ru-RU"/>
        </w:rPr>
      </w:pPr>
    </w:p>
    <w:p w14:paraId="69800C4E" w14:textId="6A428A2C" w:rsidR="00072B5F" w:rsidRPr="00C36DD6" w:rsidRDefault="00072B5F" w:rsidP="004A1F46">
      <w:pPr>
        <w:ind w:firstLine="567"/>
        <w:jc w:val="both"/>
        <w:rPr>
          <w:b/>
        </w:rPr>
      </w:pPr>
      <w:r w:rsidRPr="00C36DD6">
        <w:rPr>
          <w:b/>
        </w:rPr>
        <w:t>5.9 Передозування (симптоми, невідкладні заходи, антидоти)</w:t>
      </w:r>
    </w:p>
    <w:p w14:paraId="7064EA98" w14:textId="77777777" w:rsidR="00C67EAD" w:rsidRDefault="00C67EAD" w:rsidP="00C67EAD">
      <w:pPr>
        <w:ind w:firstLine="567"/>
        <w:jc w:val="both"/>
      </w:pPr>
      <w:r w:rsidRPr="00C36DD6">
        <w:t xml:space="preserve">Передозування може спричиняти позитивний хронотропний ефект, блювання, апатію, атаксію, шуми в серці або гіпотонію. У цій </w:t>
      </w:r>
      <w:r w:rsidR="00DC3E86" w:rsidRPr="00C36DD6">
        <w:t>ситуації слід зменшити дозу препарату</w:t>
      </w:r>
      <w:r w:rsidRPr="00C36DD6">
        <w:t xml:space="preserve"> і розпочати відповідне </w:t>
      </w:r>
      <w:r w:rsidRPr="00D73FC4">
        <w:t>симптоматичне лікування.</w:t>
      </w:r>
    </w:p>
    <w:p w14:paraId="7B369B79" w14:textId="7C381E57" w:rsidR="00024579" w:rsidRPr="00D73FC4" w:rsidRDefault="00024579" w:rsidP="00C67EAD">
      <w:pPr>
        <w:ind w:firstLine="567"/>
        <w:jc w:val="both"/>
      </w:pPr>
      <w:r w:rsidRPr="00D73FC4">
        <w:t xml:space="preserve">При тривалому застосуванні (6 місяців) препарату на здорових собак породи </w:t>
      </w:r>
      <w:proofErr w:type="spellStart"/>
      <w:r w:rsidRPr="00D73FC4">
        <w:t>бігль</w:t>
      </w:r>
      <w:proofErr w:type="spellEnd"/>
      <w:r w:rsidRPr="00D73FC4">
        <w:t xml:space="preserve"> у дозі, яка</w:t>
      </w:r>
    </w:p>
    <w:p w14:paraId="0C6A3744" w14:textId="77777777" w:rsidR="00024579" w:rsidRPr="008448B0" w:rsidRDefault="00024579" w:rsidP="00024579">
      <w:pPr>
        <w:jc w:val="right"/>
        <w:rPr>
          <w:lang w:val="ru-RU"/>
        </w:rPr>
      </w:pPr>
      <w:r w:rsidRPr="00452CFF">
        <w:lastRenderedPageBreak/>
        <w:t xml:space="preserve">Продовження додатку 1                                                                                   </w:t>
      </w:r>
    </w:p>
    <w:p w14:paraId="61D6E120" w14:textId="77777777" w:rsidR="00024579" w:rsidRPr="006E01C5" w:rsidRDefault="00024579" w:rsidP="00024579">
      <w:pPr>
        <w:jc w:val="right"/>
      </w:pPr>
      <w:r w:rsidRPr="00452CFF">
        <w:t>до реєстраційного посвідчення</w:t>
      </w:r>
      <w:r>
        <w:t xml:space="preserve"> </w:t>
      </w:r>
      <w:r w:rsidRPr="00F23197">
        <w:t>АА-10054-01-26</w:t>
      </w:r>
    </w:p>
    <w:p w14:paraId="067B6797" w14:textId="77777777" w:rsidR="00024579" w:rsidRDefault="00024579" w:rsidP="00024579">
      <w:pPr>
        <w:jc w:val="both"/>
      </w:pPr>
    </w:p>
    <w:p w14:paraId="6A88B663" w14:textId="0FF0E70B" w:rsidR="00C67EAD" w:rsidRDefault="00C67EAD" w:rsidP="00024579">
      <w:pPr>
        <w:jc w:val="both"/>
      </w:pPr>
      <w:r w:rsidRPr="00D73FC4">
        <w:t xml:space="preserve">перевищувала рекомендовану </w:t>
      </w:r>
      <w:r w:rsidR="00DC3E86" w:rsidRPr="00D73FC4">
        <w:t xml:space="preserve">дозу </w:t>
      </w:r>
      <w:r w:rsidRPr="00D73FC4">
        <w:t>в 3</w:t>
      </w:r>
      <w:r w:rsidRPr="00C36DD6">
        <w:t xml:space="preserve"> та 5 разів</w:t>
      </w:r>
      <w:r w:rsidR="00DC3E86" w:rsidRPr="00C36DD6">
        <w:t xml:space="preserve">, у деяких собак спостерігали </w:t>
      </w:r>
      <w:r w:rsidRPr="00C36DD6">
        <w:t xml:space="preserve">потовщення </w:t>
      </w:r>
      <w:r w:rsidRPr="002B722A">
        <w:t>м</w:t>
      </w:r>
      <w:r w:rsidR="00DC3E86" w:rsidRPr="002B722A">
        <w:t>ітрального клапана і гіпертрофію</w:t>
      </w:r>
      <w:r w:rsidRPr="002B722A">
        <w:t xml:space="preserve"> лівого шлуночка. Ці зміни мають </w:t>
      </w:r>
      <w:proofErr w:type="spellStart"/>
      <w:r w:rsidRPr="002B722A">
        <w:t>фармакодинамічне</w:t>
      </w:r>
      <w:proofErr w:type="spellEnd"/>
      <w:r w:rsidRPr="002B722A">
        <w:t xml:space="preserve"> походження.</w:t>
      </w:r>
    </w:p>
    <w:p w14:paraId="19C9E6D5" w14:textId="77777777" w:rsidR="00072B5F" w:rsidRPr="002B722A" w:rsidRDefault="00072B5F" w:rsidP="00C67EAD">
      <w:pPr>
        <w:ind w:firstLine="567"/>
        <w:jc w:val="both"/>
        <w:rPr>
          <w:b/>
        </w:rPr>
      </w:pPr>
      <w:r w:rsidRPr="002B722A">
        <w:rPr>
          <w:b/>
        </w:rPr>
        <w:t>5.10 Спеціальні застереження</w:t>
      </w:r>
    </w:p>
    <w:p w14:paraId="71A93E4F" w14:textId="77777777" w:rsidR="005F0D6D" w:rsidRPr="002B722A" w:rsidRDefault="005F0D6D" w:rsidP="005F0D6D">
      <w:pPr>
        <w:tabs>
          <w:tab w:val="left" w:pos="567"/>
        </w:tabs>
        <w:ind w:firstLine="567"/>
        <w:rPr>
          <w:lang w:eastAsia="en-US"/>
        </w:rPr>
      </w:pPr>
      <w:bookmarkStart w:id="14" w:name="_Hlk213779211"/>
      <w:r w:rsidRPr="002B722A">
        <w:rPr>
          <w:lang w:eastAsia="en-US"/>
        </w:rPr>
        <w:t>Препарат не досліджувався у випадках безсимптомної дилатаційної кардіоміопатії (ДКМП) у доберманів з фібриляцією передсердь або стійкою шлуночковою тахікардією.</w:t>
      </w:r>
    </w:p>
    <w:bookmarkEnd w:id="14"/>
    <w:p w14:paraId="1641D46D" w14:textId="77777777" w:rsidR="00072B5F" w:rsidRPr="00B86ABD" w:rsidRDefault="00072B5F" w:rsidP="004A1F46">
      <w:pPr>
        <w:ind w:firstLine="567"/>
        <w:jc w:val="both"/>
      </w:pPr>
      <w:r w:rsidRPr="00B86ABD">
        <w:rPr>
          <w:b/>
        </w:rPr>
        <w:t>5.11 Період виведення (каренції</w:t>
      </w:r>
      <w:r w:rsidRPr="00B86ABD">
        <w:t>)</w:t>
      </w:r>
    </w:p>
    <w:p w14:paraId="273DC413" w14:textId="0797CED8" w:rsidR="00E2598D" w:rsidRPr="00E2598D" w:rsidRDefault="00286878" w:rsidP="004A1F46">
      <w:pPr>
        <w:ind w:firstLine="567"/>
        <w:jc w:val="both"/>
        <w:rPr>
          <w:snapToGrid w:val="0"/>
          <w:lang w:val="ru-RU" w:eastAsia="ru-RU"/>
        </w:rPr>
      </w:pPr>
      <w:r w:rsidRPr="00286878">
        <w:rPr>
          <w:snapToGrid w:val="0"/>
          <w:lang w:eastAsia="ru-RU"/>
        </w:rPr>
        <w:t>Для непродуктивних тварин не визначають</w:t>
      </w:r>
      <w:r w:rsidR="00E2598D" w:rsidRPr="00E2598D">
        <w:rPr>
          <w:snapToGrid w:val="0"/>
          <w:lang w:val="ru-RU" w:eastAsia="ru-RU"/>
        </w:rPr>
        <w:t>.</w:t>
      </w:r>
    </w:p>
    <w:p w14:paraId="0408795D" w14:textId="5F5A5362" w:rsidR="00072B5F" w:rsidRPr="00646A92" w:rsidRDefault="00072B5F" w:rsidP="004A1F46">
      <w:pPr>
        <w:ind w:firstLine="567"/>
        <w:jc w:val="both"/>
        <w:rPr>
          <w:b/>
        </w:rPr>
      </w:pPr>
      <w:r w:rsidRPr="00646A92">
        <w:rPr>
          <w:b/>
        </w:rPr>
        <w:t>5.12 Спеціальні застереження для осіб і обслуговуючого персоналу</w:t>
      </w:r>
    </w:p>
    <w:p w14:paraId="448CF979" w14:textId="095C511E" w:rsidR="00646A92" w:rsidRDefault="00646A92" w:rsidP="00B903D1">
      <w:pPr>
        <w:ind w:firstLine="567"/>
        <w:jc w:val="both"/>
      </w:pPr>
      <w:r w:rsidRPr="00646A92">
        <w:t>Людям з відомою гіперчутливістю до пімобендану чи будь-яких допоміжні речовини слід уникати контакту з ветеринарним лікарським засобом.</w:t>
      </w:r>
    </w:p>
    <w:p w14:paraId="5424853A" w14:textId="0B7FC0B4" w:rsidR="00B903D1" w:rsidRPr="0053554B" w:rsidRDefault="00646A92" w:rsidP="00646A92">
      <w:pPr>
        <w:ind w:firstLine="567"/>
        <w:jc w:val="both"/>
      </w:pPr>
      <w:r w:rsidRPr="00646A92">
        <w:t xml:space="preserve">Цей ветеринарний лікарський засіб може викликати подразнення очей. </w:t>
      </w:r>
      <w:r>
        <w:t xml:space="preserve">Уникати потрапляння в </w:t>
      </w:r>
      <w:r w:rsidRPr="0053554B">
        <w:t>очі. У разі випадкового потрапляння в очі слід промити очі достатньою кількістю води. Мийте руки після використання.</w:t>
      </w:r>
    </w:p>
    <w:p w14:paraId="173D0633" w14:textId="1E9A3DB3" w:rsidR="0053554B" w:rsidRPr="0053554B" w:rsidRDefault="0053554B" w:rsidP="0053554B">
      <w:pPr>
        <w:ind w:firstLine="567"/>
        <w:jc w:val="both"/>
      </w:pPr>
      <w:r w:rsidRPr="0053554B">
        <w:t>Випадкове проковтування, особливо дитиною, може призвести до виникнення тахікардії, ортостатичної гіпотензії, гіперемії обличчя та головного болю.</w:t>
      </w:r>
    </w:p>
    <w:p w14:paraId="1B23997D" w14:textId="77777777" w:rsidR="0053554B" w:rsidRPr="0053554B" w:rsidRDefault="0053554B" w:rsidP="0053554B">
      <w:pPr>
        <w:ind w:firstLine="567"/>
        <w:jc w:val="both"/>
      </w:pPr>
      <w:r w:rsidRPr="0053554B">
        <w:t>Щоб уникнути випадкового проковтування, не залишайте наповнений шприц без нагляду та зберігайте флакон і використаний шприц в оригінальній картонній упаковці, щоб діти не мали доступу до ветеринарного лікарського засобу.</w:t>
      </w:r>
    </w:p>
    <w:p w14:paraId="3FC40469" w14:textId="10A98C43" w:rsidR="0053554B" w:rsidRPr="0053554B" w:rsidRDefault="0053554B" w:rsidP="0053554B">
      <w:pPr>
        <w:ind w:firstLine="567"/>
        <w:jc w:val="both"/>
      </w:pPr>
      <w:r w:rsidRPr="0053554B">
        <w:t>Негайно закрийте флакон кришкою після застосування необхідної кількості розчину.</w:t>
      </w:r>
    </w:p>
    <w:p w14:paraId="5DEA0C3B" w14:textId="77777777" w:rsidR="0053554B" w:rsidRPr="0053554B" w:rsidRDefault="0053554B" w:rsidP="0053554B">
      <w:pPr>
        <w:ind w:firstLine="567"/>
        <w:jc w:val="both"/>
      </w:pPr>
      <w:r w:rsidRPr="0053554B">
        <w:t>Ветеринарний лікарський засіб слід використовувати та зберігати в недоступному для дітей місці.</w:t>
      </w:r>
    </w:p>
    <w:p w14:paraId="032DDFA3" w14:textId="77777777" w:rsidR="0053554B" w:rsidRPr="0053554B" w:rsidRDefault="0053554B" w:rsidP="0053554B">
      <w:pPr>
        <w:ind w:firstLine="567"/>
        <w:jc w:val="both"/>
      </w:pPr>
      <w:r w:rsidRPr="0053554B">
        <w:t>У разі випадкового проковтування негайно зверніться за медичною допомогою і покажіть ветеринарному лікарю листок-вкладку або етикетку.</w:t>
      </w:r>
    </w:p>
    <w:p w14:paraId="6F59F967" w14:textId="77777777" w:rsidR="00072B5F" w:rsidRPr="0053554B" w:rsidRDefault="00072B5F" w:rsidP="004A1F46">
      <w:pPr>
        <w:ind w:firstLine="567"/>
        <w:jc w:val="both"/>
        <w:rPr>
          <w:b/>
        </w:rPr>
      </w:pPr>
      <w:r w:rsidRPr="0053554B">
        <w:rPr>
          <w:b/>
        </w:rPr>
        <w:t>6. Фармацевтичні особливості</w:t>
      </w:r>
    </w:p>
    <w:p w14:paraId="69C1E2AB" w14:textId="77777777" w:rsidR="00072B5F" w:rsidRPr="0053554B" w:rsidRDefault="00072B5F" w:rsidP="004A1F46">
      <w:pPr>
        <w:ind w:firstLine="567"/>
        <w:jc w:val="both"/>
        <w:rPr>
          <w:b/>
        </w:rPr>
      </w:pPr>
      <w:r w:rsidRPr="0053554B">
        <w:rPr>
          <w:b/>
        </w:rPr>
        <w:t>6.1 Форми несумісності (основні)</w:t>
      </w:r>
    </w:p>
    <w:p w14:paraId="4E21BCDF" w14:textId="77777777" w:rsidR="00072B5F" w:rsidRPr="00E70EC7" w:rsidRDefault="00072B5F" w:rsidP="004A1F46">
      <w:pPr>
        <w:ind w:firstLine="567"/>
        <w:jc w:val="both"/>
      </w:pPr>
      <w:r w:rsidRPr="00E70EC7">
        <w:t>Не відомі.</w:t>
      </w:r>
    </w:p>
    <w:p w14:paraId="7F578F6C" w14:textId="77777777" w:rsidR="00072B5F" w:rsidRPr="00E70EC7" w:rsidRDefault="00072B5F" w:rsidP="004A1F46">
      <w:pPr>
        <w:ind w:firstLine="567"/>
        <w:jc w:val="both"/>
        <w:rPr>
          <w:b/>
        </w:rPr>
      </w:pPr>
      <w:r w:rsidRPr="00E70EC7">
        <w:rPr>
          <w:b/>
        </w:rPr>
        <w:t>6.2 Термін придатності</w:t>
      </w:r>
    </w:p>
    <w:p w14:paraId="51555B47" w14:textId="77777777" w:rsidR="0053554B" w:rsidRPr="00E70EC7" w:rsidRDefault="0053554B" w:rsidP="0053554B">
      <w:pPr>
        <w:ind w:firstLine="567"/>
        <w:jc w:val="both"/>
      </w:pPr>
      <w:bookmarkStart w:id="15" w:name="_Hlk213779266"/>
      <w:r w:rsidRPr="00E70EC7">
        <w:rPr>
          <w:bCs/>
          <w:lang w:val="ru-RU"/>
        </w:rPr>
        <w:t xml:space="preserve">Термін придатності ветеринарного лікарського засобу: </w:t>
      </w:r>
      <w:r w:rsidRPr="00E70EC7">
        <w:t xml:space="preserve">2 роки. </w:t>
      </w:r>
    </w:p>
    <w:p w14:paraId="6E6F8BCE" w14:textId="062CA88F" w:rsidR="0053554B" w:rsidRPr="00E70EC7" w:rsidRDefault="0053554B" w:rsidP="0053554B">
      <w:pPr>
        <w:ind w:firstLine="567"/>
        <w:jc w:val="both"/>
        <w:rPr>
          <w:bCs/>
          <w:lang w:val="ru-RU"/>
        </w:rPr>
      </w:pPr>
      <w:r w:rsidRPr="00E70EC7">
        <w:rPr>
          <w:bCs/>
          <w:lang w:val="ru-RU"/>
        </w:rPr>
        <w:t>Термін придатності після першого відкриття первинної упаковки: 8 тижнів</w:t>
      </w:r>
      <w:bookmarkEnd w:id="15"/>
    </w:p>
    <w:p w14:paraId="6FCA2F74" w14:textId="2CAA2FB3" w:rsidR="00827B8E" w:rsidRPr="00E70EC7" w:rsidRDefault="00827B8E" w:rsidP="00827B8E">
      <w:pPr>
        <w:ind w:firstLine="567"/>
        <w:jc w:val="both"/>
        <w:rPr>
          <w:b/>
        </w:rPr>
      </w:pPr>
      <w:r w:rsidRPr="00E70EC7">
        <w:rPr>
          <w:b/>
        </w:rPr>
        <w:t>6.3 Особливі заходи зберігання</w:t>
      </w:r>
    </w:p>
    <w:p w14:paraId="27A9BC5D" w14:textId="1FB8EB66" w:rsidR="0053554B" w:rsidRPr="00E70EC7" w:rsidRDefault="0053554B" w:rsidP="00827B8E">
      <w:pPr>
        <w:ind w:firstLine="567"/>
        <w:jc w:val="both"/>
      </w:pPr>
      <w:bookmarkStart w:id="16" w:name="_Hlk213779243"/>
      <w:r w:rsidRPr="00E70EC7">
        <w:t xml:space="preserve">Зберігати ветеринарний лікарський засіб </w:t>
      </w:r>
      <w:bookmarkStart w:id="17" w:name="_Hlk227676015"/>
      <w:r w:rsidR="00286878" w:rsidRPr="00286878">
        <w:t xml:space="preserve">у недоступному для дітей місці </w:t>
      </w:r>
      <w:bookmarkEnd w:id="17"/>
      <w:r w:rsidRPr="00E70EC7">
        <w:t>при температурі не вище 30 ºС.</w:t>
      </w:r>
    </w:p>
    <w:bookmarkEnd w:id="16"/>
    <w:p w14:paraId="126B86AD" w14:textId="77777777" w:rsidR="006E01C5" w:rsidRPr="00E70EC7" w:rsidRDefault="006E01C5" w:rsidP="006E01C5">
      <w:pPr>
        <w:ind w:firstLine="567"/>
        <w:jc w:val="both"/>
        <w:rPr>
          <w:b/>
        </w:rPr>
      </w:pPr>
      <w:r w:rsidRPr="00E70EC7">
        <w:rPr>
          <w:b/>
        </w:rPr>
        <w:t>6.4 Природа і склад контейнера первинного пакування</w:t>
      </w:r>
    </w:p>
    <w:p w14:paraId="421A506C" w14:textId="77777777" w:rsidR="006E01C5" w:rsidRPr="009D7882" w:rsidRDefault="006E01C5" w:rsidP="006E01C5">
      <w:pPr>
        <w:ind w:firstLine="567"/>
        <w:jc w:val="both"/>
        <w:rPr>
          <w:b/>
          <w:lang w:val="ru-RU"/>
        </w:rPr>
      </w:pPr>
      <w:bookmarkStart w:id="18" w:name="_Hlk213779225"/>
      <w:r w:rsidRPr="00E70EC7">
        <w:t xml:space="preserve">Флакон з бурштинового скла об’ємом 60 мл містить 50 мл розчину для перорального застосування, закритий кришкою з захистом від дітей. Також надається другий ковпачок з захистом від дітей та вбудованим адаптером, який слід використовувати після першого відкриття флакона. Кожен </w:t>
      </w:r>
      <w:r w:rsidRPr="00FA068A">
        <w:t>флакон та шприц-дозатор упаковані у картонну коробку.</w:t>
      </w:r>
      <w:bookmarkEnd w:id="18"/>
    </w:p>
    <w:p w14:paraId="068C1435" w14:textId="77777777" w:rsidR="006E01C5" w:rsidRPr="00976B92" w:rsidRDefault="006E01C5" w:rsidP="006E01C5">
      <w:pPr>
        <w:ind w:firstLine="567"/>
        <w:jc w:val="both"/>
        <w:rPr>
          <w:b/>
          <w:lang w:val="ru-RU"/>
        </w:rPr>
      </w:pPr>
      <w:r w:rsidRPr="00FA068A">
        <w:rPr>
          <w:b/>
        </w:rPr>
        <w:t>6.5 Особливі заходи безпеки при поводженні з невикористаним препаратом або із його залишками</w:t>
      </w:r>
    </w:p>
    <w:p w14:paraId="46EFE7FB" w14:textId="77777777" w:rsidR="006E01C5" w:rsidRPr="00FA068A" w:rsidRDefault="006E01C5" w:rsidP="006E01C5">
      <w:pPr>
        <w:ind w:firstLine="567"/>
        <w:jc w:val="both"/>
        <w:rPr>
          <w:b/>
        </w:rPr>
      </w:pPr>
      <w:r w:rsidRPr="00FA068A">
        <w:rPr>
          <w:spacing w:val="-1"/>
        </w:rPr>
        <w:t>Порожню упаковку та залишки невикористаного препарату потрібно утилізувати згідно з чинним законодавством.</w:t>
      </w:r>
    </w:p>
    <w:p w14:paraId="16571229" w14:textId="5D4C6111" w:rsidR="00B664AD" w:rsidRPr="00B40B49" w:rsidRDefault="006E01C5" w:rsidP="004A1F46">
      <w:pPr>
        <w:ind w:firstLine="567"/>
        <w:jc w:val="both"/>
        <w:rPr>
          <w:b/>
          <w:lang w:val="ru-RU"/>
        </w:rPr>
      </w:pPr>
      <w:r w:rsidRPr="00FA068A">
        <w:rPr>
          <w:b/>
        </w:rPr>
        <w:t>7. Назва і місцезнаходження власника реєстраційного посвідчення</w:t>
      </w:r>
    </w:p>
    <w:tbl>
      <w:tblPr>
        <w:tblW w:w="0" w:type="auto"/>
        <w:tblInd w:w="648" w:type="dxa"/>
        <w:tblLook w:val="01E0" w:firstRow="1" w:lastRow="1" w:firstColumn="1" w:lastColumn="1" w:noHBand="0" w:noVBand="0"/>
      </w:tblPr>
      <w:tblGrid>
        <w:gridCol w:w="4619"/>
        <w:gridCol w:w="4741"/>
      </w:tblGrid>
      <w:tr w:rsidR="006E01C5" w:rsidRPr="00FA068A" w14:paraId="12A8214D" w14:textId="77777777" w:rsidTr="00C62AED">
        <w:tc>
          <w:tcPr>
            <w:tcW w:w="4619" w:type="dxa"/>
          </w:tcPr>
          <w:p w14:paraId="5F44C05D" w14:textId="77777777" w:rsidR="006E01C5" w:rsidRPr="00D73FC4" w:rsidRDefault="006E01C5" w:rsidP="00C62AED">
            <w:pPr>
              <w:pStyle w:val="Normal1"/>
              <w:ind w:left="-83"/>
              <w:rPr>
                <w:sz w:val="24"/>
                <w:szCs w:val="24"/>
                <w:lang w:val="uk-UA"/>
              </w:rPr>
            </w:pPr>
            <w:r w:rsidRPr="00D73FC4">
              <w:rPr>
                <w:sz w:val="24"/>
                <w:szCs w:val="24"/>
                <w:lang w:val="uk-UA"/>
              </w:rPr>
              <w:t xml:space="preserve">Берінгер Інгельхайм Ветмедіка ГмбХ </w:t>
            </w:r>
          </w:p>
          <w:p w14:paraId="6B948DD1" w14:textId="7180BF77" w:rsidR="006E01C5" w:rsidRPr="00FA068A" w:rsidRDefault="006E01C5" w:rsidP="00C62AED">
            <w:pPr>
              <w:ind w:left="-83"/>
            </w:pPr>
            <w:r w:rsidRPr="00D73FC4">
              <w:t xml:space="preserve">55216 </w:t>
            </w:r>
            <w:r w:rsidR="00A67629" w:rsidRPr="00D73FC4">
              <w:t>м.</w:t>
            </w:r>
            <w:r w:rsidR="009530C8" w:rsidRPr="00D73FC4">
              <w:t xml:space="preserve"> </w:t>
            </w:r>
            <w:r w:rsidRPr="00D73FC4">
              <w:t>Інгельхайм</w:t>
            </w:r>
            <w:r w:rsidRPr="00FA068A">
              <w:t xml:space="preserve">-на-Рейні, </w:t>
            </w:r>
          </w:p>
          <w:p w14:paraId="3D11898E" w14:textId="77777777" w:rsidR="006E01C5" w:rsidRPr="00FA068A" w:rsidRDefault="006E01C5" w:rsidP="00C62AED">
            <w:pPr>
              <w:ind w:left="-83"/>
              <w:rPr>
                <w:b/>
              </w:rPr>
            </w:pPr>
            <w:r w:rsidRPr="00FA068A">
              <w:t>Бінгер штрассе, 173, НІМЕЧЧИНА</w:t>
            </w:r>
          </w:p>
        </w:tc>
        <w:tc>
          <w:tcPr>
            <w:tcW w:w="4741" w:type="dxa"/>
          </w:tcPr>
          <w:p w14:paraId="64D6E586" w14:textId="77777777" w:rsidR="006E01C5" w:rsidRPr="00FA068A" w:rsidRDefault="006E01C5" w:rsidP="00C62AED">
            <w:pPr>
              <w:pStyle w:val="Normal1"/>
              <w:rPr>
                <w:sz w:val="24"/>
                <w:szCs w:val="24"/>
                <w:lang w:val="de-DE"/>
              </w:rPr>
            </w:pPr>
            <w:r w:rsidRPr="00FA068A">
              <w:rPr>
                <w:sz w:val="24"/>
                <w:szCs w:val="24"/>
                <w:lang w:val="de-DE"/>
              </w:rPr>
              <w:t>Boehringer Ingelheim Vetmedica GmbH</w:t>
            </w:r>
          </w:p>
          <w:p w14:paraId="233036D3" w14:textId="77777777" w:rsidR="006E01C5" w:rsidRPr="00FA068A" w:rsidRDefault="006E01C5" w:rsidP="00C62AED">
            <w:pPr>
              <w:rPr>
                <w:lang w:val="de-DE"/>
              </w:rPr>
            </w:pPr>
            <w:r w:rsidRPr="00FA068A">
              <w:rPr>
                <w:lang w:val="de-DE"/>
              </w:rPr>
              <w:t>55216 Ingelheim am Rhein</w:t>
            </w:r>
            <w:r w:rsidRPr="00FA068A">
              <w:t>,</w:t>
            </w:r>
            <w:r w:rsidRPr="00FA068A">
              <w:rPr>
                <w:lang w:val="de-DE"/>
              </w:rPr>
              <w:t xml:space="preserve"> </w:t>
            </w:r>
          </w:p>
          <w:p w14:paraId="0BB3FAC5" w14:textId="77777777" w:rsidR="006E01C5" w:rsidRPr="00FA068A" w:rsidRDefault="006E01C5" w:rsidP="00C62AED">
            <w:pPr>
              <w:rPr>
                <w:b/>
              </w:rPr>
            </w:pPr>
            <w:r w:rsidRPr="00FA068A">
              <w:rPr>
                <w:lang w:val="de-DE"/>
              </w:rPr>
              <w:t xml:space="preserve">Binger Str. 173, </w:t>
            </w:r>
            <w:r w:rsidRPr="00FA068A">
              <w:t>GERMANY</w:t>
            </w:r>
          </w:p>
        </w:tc>
      </w:tr>
    </w:tbl>
    <w:p w14:paraId="25F8774C" w14:textId="77777777" w:rsidR="00072B5F" w:rsidRPr="00976B92" w:rsidRDefault="00072B5F" w:rsidP="00BE7B27">
      <w:pPr>
        <w:ind w:firstLine="567"/>
        <w:rPr>
          <w:b/>
        </w:rPr>
      </w:pPr>
      <w:r w:rsidRPr="00976B92">
        <w:rPr>
          <w:b/>
        </w:rPr>
        <w:t>8. Назва і місцезнаходження виробника</w:t>
      </w:r>
    </w:p>
    <w:tbl>
      <w:tblPr>
        <w:tblW w:w="0" w:type="auto"/>
        <w:tblInd w:w="648" w:type="dxa"/>
        <w:tblLook w:val="01E0" w:firstRow="1" w:lastRow="1" w:firstColumn="1" w:lastColumn="1" w:noHBand="0" w:noVBand="0"/>
      </w:tblPr>
      <w:tblGrid>
        <w:gridCol w:w="4619"/>
        <w:gridCol w:w="4741"/>
      </w:tblGrid>
      <w:tr w:rsidR="00976B92" w:rsidRPr="00976B92" w14:paraId="3EA0F822" w14:textId="77777777" w:rsidTr="00C629C6">
        <w:tc>
          <w:tcPr>
            <w:tcW w:w="4619" w:type="dxa"/>
          </w:tcPr>
          <w:p w14:paraId="6375D6BD" w14:textId="77777777" w:rsidR="00E2598D" w:rsidRPr="00B40B49" w:rsidRDefault="00286878" w:rsidP="00E2598D">
            <w:pPr>
              <w:pStyle w:val="Normal1"/>
              <w:ind w:left="-42"/>
              <w:rPr>
                <w:sz w:val="24"/>
                <w:szCs w:val="24"/>
                <w:lang w:val="uk-UA"/>
              </w:rPr>
            </w:pPr>
            <w:bookmarkStart w:id="19" w:name="_Hlk213921295"/>
            <w:r w:rsidRPr="009D7882">
              <w:rPr>
                <w:sz w:val="24"/>
                <w:szCs w:val="24"/>
                <w:lang w:val="uk-UA"/>
              </w:rPr>
              <w:t xml:space="preserve">Аргента Данді </w:t>
            </w:r>
            <w:r w:rsidRPr="00286878">
              <w:rPr>
                <w:sz w:val="24"/>
                <w:szCs w:val="24"/>
                <w:lang w:val="uk-UA"/>
              </w:rPr>
              <w:t>Лімітед</w:t>
            </w:r>
            <w:r w:rsidRPr="00286878" w:rsidDel="00286878">
              <w:rPr>
                <w:sz w:val="24"/>
                <w:szCs w:val="24"/>
                <w:lang w:val="uk-UA"/>
              </w:rPr>
              <w:t xml:space="preserve"> </w:t>
            </w:r>
          </w:p>
          <w:p w14:paraId="3C3E7B95" w14:textId="5621A2F8" w:rsidR="00286878" w:rsidRPr="009D7882" w:rsidRDefault="00286878" w:rsidP="00E2598D">
            <w:pPr>
              <w:pStyle w:val="Normal1"/>
              <w:ind w:left="-42"/>
              <w:rPr>
                <w:sz w:val="24"/>
                <w:szCs w:val="24"/>
                <w:lang w:val="uk-UA"/>
              </w:rPr>
            </w:pPr>
            <w:r w:rsidRPr="009D7882">
              <w:rPr>
                <w:sz w:val="24"/>
                <w:szCs w:val="24"/>
                <w:lang w:val="uk-UA"/>
              </w:rPr>
              <w:t>Кінноулл Роуд</w:t>
            </w:r>
          </w:p>
          <w:p w14:paraId="4417E3A3" w14:textId="77777777" w:rsidR="00286878" w:rsidRPr="009D7882" w:rsidRDefault="00286878" w:rsidP="00E2598D">
            <w:pPr>
              <w:pStyle w:val="Normal1"/>
              <w:ind w:left="-42"/>
              <w:rPr>
                <w:sz w:val="24"/>
                <w:szCs w:val="24"/>
                <w:lang w:val="uk-UA"/>
              </w:rPr>
            </w:pPr>
            <w:r w:rsidRPr="009D7882">
              <w:rPr>
                <w:sz w:val="24"/>
                <w:szCs w:val="24"/>
                <w:lang w:val="uk-UA"/>
              </w:rPr>
              <w:t>Дансінейн Індастріал Істейт</w:t>
            </w:r>
          </w:p>
          <w:p w14:paraId="6384BC41" w14:textId="77777777" w:rsidR="00286878" w:rsidRPr="009D7882" w:rsidRDefault="00286878" w:rsidP="00E2598D">
            <w:pPr>
              <w:pStyle w:val="Normal1"/>
              <w:ind w:left="-42"/>
              <w:rPr>
                <w:sz w:val="24"/>
                <w:szCs w:val="24"/>
                <w:lang w:val="uk-UA"/>
              </w:rPr>
            </w:pPr>
            <w:r w:rsidRPr="009D7882">
              <w:rPr>
                <w:sz w:val="24"/>
                <w:szCs w:val="24"/>
                <w:lang w:val="uk-UA"/>
              </w:rPr>
              <w:t>Данді, DD2 3XR</w:t>
            </w:r>
          </w:p>
          <w:p w14:paraId="033DB924" w14:textId="77777777" w:rsidR="00286878" w:rsidRDefault="00286878" w:rsidP="00E2598D">
            <w:pPr>
              <w:pStyle w:val="Normal1"/>
              <w:ind w:left="-42"/>
              <w:rPr>
                <w:sz w:val="24"/>
                <w:szCs w:val="24"/>
                <w:lang w:val="uk-UA"/>
              </w:rPr>
            </w:pPr>
            <w:r w:rsidRPr="00286878">
              <w:rPr>
                <w:sz w:val="24"/>
                <w:szCs w:val="24"/>
                <w:lang w:val="uk-UA"/>
              </w:rPr>
              <w:t>ВЕЛИКА БРИТАНІЯ</w:t>
            </w:r>
          </w:p>
          <w:p w14:paraId="38EDADD7" w14:textId="1A0F8AC9" w:rsidR="00A12B51" w:rsidRPr="00976B92" w:rsidRDefault="00CE1FC5" w:rsidP="00A12B51">
            <w:pPr>
              <w:pStyle w:val="Normal1"/>
              <w:ind w:left="-83"/>
              <w:rPr>
                <w:sz w:val="24"/>
                <w:szCs w:val="24"/>
                <w:lang w:val="uk-UA"/>
              </w:rPr>
            </w:pPr>
            <w:r w:rsidRPr="00976B92">
              <w:rPr>
                <w:sz w:val="24"/>
                <w:szCs w:val="24"/>
                <w:lang w:val="uk-UA"/>
              </w:rPr>
              <w:t xml:space="preserve"> </w:t>
            </w:r>
            <w:bookmarkEnd w:id="19"/>
          </w:p>
        </w:tc>
        <w:tc>
          <w:tcPr>
            <w:tcW w:w="4741" w:type="dxa"/>
          </w:tcPr>
          <w:p w14:paraId="53B3F80D" w14:textId="3ABBF7E9" w:rsidR="00286878" w:rsidRPr="00286878" w:rsidRDefault="00286878" w:rsidP="00286878">
            <w:pPr>
              <w:pStyle w:val="Normal1"/>
              <w:rPr>
                <w:sz w:val="24"/>
                <w:szCs w:val="24"/>
                <w:lang w:val="uk-UA"/>
              </w:rPr>
            </w:pPr>
            <w:bookmarkStart w:id="20" w:name="_Hlk213925212"/>
            <w:r w:rsidRPr="00286878">
              <w:rPr>
                <w:sz w:val="24"/>
                <w:szCs w:val="24"/>
                <w:lang w:val="uk-UA"/>
              </w:rPr>
              <w:t>Argenta Dundee Limited</w:t>
            </w:r>
          </w:p>
          <w:p w14:paraId="3A3FFDD0" w14:textId="77777777" w:rsidR="00286878" w:rsidRPr="00286878" w:rsidRDefault="00286878" w:rsidP="00286878">
            <w:pPr>
              <w:pStyle w:val="Normal1"/>
              <w:rPr>
                <w:sz w:val="24"/>
                <w:szCs w:val="24"/>
                <w:lang w:val="uk-UA"/>
              </w:rPr>
            </w:pPr>
            <w:r w:rsidRPr="00286878">
              <w:rPr>
                <w:sz w:val="24"/>
                <w:szCs w:val="24"/>
                <w:lang w:val="uk-UA"/>
              </w:rPr>
              <w:t>Kinnoull Road</w:t>
            </w:r>
          </w:p>
          <w:p w14:paraId="43F8EE67" w14:textId="77777777" w:rsidR="00286878" w:rsidRPr="00286878" w:rsidRDefault="00286878" w:rsidP="00286878">
            <w:pPr>
              <w:pStyle w:val="Normal1"/>
              <w:rPr>
                <w:sz w:val="24"/>
                <w:szCs w:val="24"/>
                <w:lang w:val="uk-UA"/>
              </w:rPr>
            </w:pPr>
            <w:r w:rsidRPr="00286878">
              <w:rPr>
                <w:sz w:val="24"/>
                <w:szCs w:val="24"/>
                <w:lang w:val="uk-UA"/>
              </w:rPr>
              <w:t>Dunsinane Industrial Estate</w:t>
            </w:r>
          </w:p>
          <w:p w14:paraId="3FDEB717" w14:textId="77777777" w:rsidR="00286878" w:rsidRPr="00286878" w:rsidRDefault="00286878" w:rsidP="00286878">
            <w:pPr>
              <w:pStyle w:val="Normal1"/>
              <w:rPr>
                <w:sz w:val="24"/>
                <w:szCs w:val="24"/>
                <w:lang w:val="uk-UA"/>
              </w:rPr>
            </w:pPr>
            <w:r w:rsidRPr="00286878">
              <w:rPr>
                <w:sz w:val="24"/>
                <w:szCs w:val="24"/>
                <w:lang w:val="uk-UA"/>
              </w:rPr>
              <w:t>Dundee, DD2 3XR</w:t>
            </w:r>
          </w:p>
          <w:p w14:paraId="51E0F843" w14:textId="3778376D" w:rsidR="00BE7B27" w:rsidRPr="00976B92" w:rsidRDefault="00286878" w:rsidP="009D7882">
            <w:pPr>
              <w:pStyle w:val="Normal1"/>
              <w:rPr>
                <w:sz w:val="24"/>
                <w:szCs w:val="24"/>
                <w:lang w:val="uk-UA"/>
              </w:rPr>
            </w:pPr>
            <w:r w:rsidRPr="00286878">
              <w:rPr>
                <w:sz w:val="24"/>
                <w:szCs w:val="24"/>
                <w:lang w:val="uk-UA"/>
              </w:rPr>
              <w:t>UNITED KINGDOM</w:t>
            </w:r>
            <w:bookmarkEnd w:id="20"/>
          </w:p>
        </w:tc>
      </w:tr>
    </w:tbl>
    <w:p w14:paraId="0E0B4455" w14:textId="0E65ACC6" w:rsidR="0076488B" w:rsidRPr="00282E19" w:rsidRDefault="00072B5F" w:rsidP="00024579">
      <w:pPr>
        <w:ind w:firstLine="567"/>
        <w:rPr>
          <w:color w:val="FF0000"/>
        </w:rPr>
      </w:pPr>
      <w:r w:rsidRPr="00976B92">
        <w:rPr>
          <w:b/>
        </w:rPr>
        <w:t>9. Додаткова інформація</w:t>
      </w:r>
      <w:bookmarkStart w:id="21" w:name="_GoBack"/>
      <w:bookmarkEnd w:id="21"/>
    </w:p>
    <w:sectPr w:rsidR="0076488B" w:rsidRPr="00282E19" w:rsidSect="00024579">
      <w:footerReference w:type="even" r:id="rId11"/>
      <w:footerReference w:type="defaul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B5E175" w14:textId="77777777" w:rsidR="00F10265" w:rsidRDefault="00F10265" w:rsidP="00BE7B27">
      <w:r>
        <w:separator/>
      </w:r>
    </w:p>
  </w:endnote>
  <w:endnote w:type="continuationSeparator" w:id="0">
    <w:p w14:paraId="57C58E36" w14:textId="77777777" w:rsidR="00F10265" w:rsidRDefault="00F10265" w:rsidP="00BE7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88E8C" w14:textId="77777777" w:rsidR="0026477C" w:rsidRDefault="0026477C" w:rsidP="00AE2AC4">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4C14264" w14:textId="77777777" w:rsidR="0026477C" w:rsidRDefault="0026477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9FF9B" w14:textId="77777777" w:rsidR="0026477C" w:rsidRDefault="0026477C" w:rsidP="00AE2AC4">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24579">
      <w:rPr>
        <w:rStyle w:val="a8"/>
        <w:noProof/>
      </w:rPr>
      <w:t>4</w:t>
    </w:r>
    <w:r>
      <w:rPr>
        <w:rStyle w:val="a8"/>
      </w:rPr>
      <w:fldChar w:fldCharType="end"/>
    </w:r>
  </w:p>
  <w:p w14:paraId="429FCB3B" w14:textId="77777777" w:rsidR="0026477C" w:rsidRDefault="0026477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66CC99" w14:textId="77777777" w:rsidR="00F10265" w:rsidRDefault="00F10265" w:rsidP="00BE7B27">
      <w:r>
        <w:separator/>
      </w:r>
    </w:p>
  </w:footnote>
  <w:footnote w:type="continuationSeparator" w:id="0">
    <w:p w14:paraId="2786C4A5" w14:textId="77777777" w:rsidR="00F10265" w:rsidRDefault="00F10265" w:rsidP="00BE7B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B5F"/>
    <w:rsid w:val="00004529"/>
    <w:rsid w:val="00024579"/>
    <w:rsid w:val="00025B72"/>
    <w:rsid w:val="00037CCC"/>
    <w:rsid w:val="00046264"/>
    <w:rsid w:val="00054326"/>
    <w:rsid w:val="00072B5F"/>
    <w:rsid w:val="000761B6"/>
    <w:rsid w:val="000830AF"/>
    <w:rsid w:val="000B2AFC"/>
    <w:rsid w:val="000E6089"/>
    <w:rsid w:val="00102710"/>
    <w:rsid w:val="00105A21"/>
    <w:rsid w:val="00140898"/>
    <w:rsid w:val="00143D1C"/>
    <w:rsid w:val="00146614"/>
    <w:rsid w:val="00152673"/>
    <w:rsid w:val="00164325"/>
    <w:rsid w:val="001657B0"/>
    <w:rsid w:val="00167134"/>
    <w:rsid w:val="00180E0F"/>
    <w:rsid w:val="00187586"/>
    <w:rsid w:val="001938E4"/>
    <w:rsid w:val="001A3F5B"/>
    <w:rsid w:val="001B140D"/>
    <w:rsid w:val="001D0610"/>
    <w:rsid w:val="001D3F56"/>
    <w:rsid w:val="001D4006"/>
    <w:rsid w:val="001D5086"/>
    <w:rsid w:val="001F1A0C"/>
    <w:rsid w:val="001F2B22"/>
    <w:rsid w:val="001F7898"/>
    <w:rsid w:val="00200B26"/>
    <w:rsid w:val="00206C54"/>
    <w:rsid w:val="00212308"/>
    <w:rsid w:val="00222D17"/>
    <w:rsid w:val="002446DD"/>
    <w:rsid w:val="002550CB"/>
    <w:rsid w:val="00256D85"/>
    <w:rsid w:val="0026477C"/>
    <w:rsid w:val="00272F1A"/>
    <w:rsid w:val="00275F79"/>
    <w:rsid w:val="00282E19"/>
    <w:rsid w:val="00286878"/>
    <w:rsid w:val="002911E5"/>
    <w:rsid w:val="002A7C4A"/>
    <w:rsid w:val="002B4CFB"/>
    <w:rsid w:val="002B722A"/>
    <w:rsid w:val="002C1269"/>
    <w:rsid w:val="00310034"/>
    <w:rsid w:val="00342739"/>
    <w:rsid w:val="003432F2"/>
    <w:rsid w:val="00351362"/>
    <w:rsid w:val="00354B64"/>
    <w:rsid w:val="0036492D"/>
    <w:rsid w:val="003672D5"/>
    <w:rsid w:val="00373C7F"/>
    <w:rsid w:val="00385ACC"/>
    <w:rsid w:val="00393885"/>
    <w:rsid w:val="003A1E14"/>
    <w:rsid w:val="003A305E"/>
    <w:rsid w:val="003A47B3"/>
    <w:rsid w:val="003B3866"/>
    <w:rsid w:val="003C10FE"/>
    <w:rsid w:val="003D7896"/>
    <w:rsid w:val="00407C4C"/>
    <w:rsid w:val="00412938"/>
    <w:rsid w:val="00412A5F"/>
    <w:rsid w:val="00417459"/>
    <w:rsid w:val="00417B5E"/>
    <w:rsid w:val="00426DEA"/>
    <w:rsid w:val="00432EF4"/>
    <w:rsid w:val="004351A6"/>
    <w:rsid w:val="00452B29"/>
    <w:rsid w:val="00452CFF"/>
    <w:rsid w:val="00477793"/>
    <w:rsid w:val="00492FDD"/>
    <w:rsid w:val="004A1F46"/>
    <w:rsid w:val="004A38E6"/>
    <w:rsid w:val="004A7FA1"/>
    <w:rsid w:val="004E1252"/>
    <w:rsid w:val="004E26BC"/>
    <w:rsid w:val="004F10E9"/>
    <w:rsid w:val="005022E8"/>
    <w:rsid w:val="00502D85"/>
    <w:rsid w:val="00506510"/>
    <w:rsid w:val="00506EA2"/>
    <w:rsid w:val="005072B5"/>
    <w:rsid w:val="0053486C"/>
    <w:rsid w:val="0053554B"/>
    <w:rsid w:val="005356ED"/>
    <w:rsid w:val="005A4C21"/>
    <w:rsid w:val="005D479B"/>
    <w:rsid w:val="005D600F"/>
    <w:rsid w:val="005F003B"/>
    <w:rsid w:val="005F0D6D"/>
    <w:rsid w:val="005F5587"/>
    <w:rsid w:val="006118BC"/>
    <w:rsid w:val="006156D1"/>
    <w:rsid w:val="00616254"/>
    <w:rsid w:val="00616ED5"/>
    <w:rsid w:val="006261E4"/>
    <w:rsid w:val="00646A92"/>
    <w:rsid w:val="00660607"/>
    <w:rsid w:val="006A6C2A"/>
    <w:rsid w:val="006E01C5"/>
    <w:rsid w:val="006F04E1"/>
    <w:rsid w:val="00712480"/>
    <w:rsid w:val="00740ABE"/>
    <w:rsid w:val="00740EC9"/>
    <w:rsid w:val="00762448"/>
    <w:rsid w:val="0076488B"/>
    <w:rsid w:val="00780C3A"/>
    <w:rsid w:val="007819F3"/>
    <w:rsid w:val="007828A9"/>
    <w:rsid w:val="00783713"/>
    <w:rsid w:val="007905F3"/>
    <w:rsid w:val="007A2A14"/>
    <w:rsid w:val="007D3A9A"/>
    <w:rsid w:val="00827B8E"/>
    <w:rsid w:val="008448B0"/>
    <w:rsid w:val="00895821"/>
    <w:rsid w:val="008960BE"/>
    <w:rsid w:val="0089641B"/>
    <w:rsid w:val="008B2F1F"/>
    <w:rsid w:val="008B4513"/>
    <w:rsid w:val="008B54DF"/>
    <w:rsid w:val="008C213D"/>
    <w:rsid w:val="008D4A35"/>
    <w:rsid w:val="008E055B"/>
    <w:rsid w:val="008E147F"/>
    <w:rsid w:val="008E202C"/>
    <w:rsid w:val="008F169C"/>
    <w:rsid w:val="00914ED5"/>
    <w:rsid w:val="00917C07"/>
    <w:rsid w:val="009251A9"/>
    <w:rsid w:val="00940151"/>
    <w:rsid w:val="0094304D"/>
    <w:rsid w:val="009530C8"/>
    <w:rsid w:val="00954763"/>
    <w:rsid w:val="00966C56"/>
    <w:rsid w:val="00970721"/>
    <w:rsid w:val="00976B92"/>
    <w:rsid w:val="009867B6"/>
    <w:rsid w:val="00993262"/>
    <w:rsid w:val="009A67E2"/>
    <w:rsid w:val="009B42C1"/>
    <w:rsid w:val="009B4EF1"/>
    <w:rsid w:val="009C2560"/>
    <w:rsid w:val="009C5407"/>
    <w:rsid w:val="009C5AD4"/>
    <w:rsid w:val="009D10F7"/>
    <w:rsid w:val="009D4B98"/>
    <w:rsid w:val="009D7882"/>
    <w:rsid w:val="009E49E5"/>
    <w:rsid w:val="009F526F"/>
    <w:rsid w:val="00A02779"/>
    <w:rsid w:val="00A06439"/>
    <w:rsid w:val="00A12B51"/>
    <w:rsid w:val="00A16C96"/>
    <w:rsid w:val="00A27308"/>
    <w:rsid w:val="00A3594B"/>
    <w:rsid w:val="00A43F93"/>
    <w:rsid w:val="00A55C2D"/>
    <w:rsid w:val="00A67629"/>
    <w:rsid w:val="00A74D21"/>
    <w:rsid w:val="00A95FA6"/>
    <w:rsid w:val="00A967BD"/>
    <w:rsid w:val="00AA07FD"/>
    <w:rsid w:val="00AA44E9"/>
    <w:rsid w:val="00AB1BF8"/>
    <w:rsid w:val="00AD3BAE"/>
    <w:rsid w:val="00AE2AC4"/>
    <w:rsid w:val="00AE6961"/>
    <w:rsid w:val="00AF375B"/>
    <w:rsid w:val="00AF5F56"/>
    <w:rsid w:val="00AF62F4"/>
    <w:rsid w:val="00B2320D"/>
    <w:rsid w:val="00B40B49"/>
    <w:rsid w:val="00B45964"/>
    <w:rsid w:val="00B45F8D"/>
    <w:rsid w:val="00B477F7"/>
    <w:rsid w:val="00B60E0D"/>
    <w:rsid w:val="00B66042"/>
    <w:rsid w:val="00B664AD"/>
    <w:rsid w:val="00B67B97"/>
    <w:rsid w:val="00B74FDD"/>
    <w:rsid w:val="00B77237"/>
    <w:rsid w:val="00B83E5B"/>
    <w:rsid w:val="00B86ABD"/>
    <w:rsid w:val="00B86D81"/>
    <w:rsid w:val="00B903D1"/>
    <w:rsid w:val="00BA16D3"/>
    <w:rsid w:val="00BB21EF"/>
    <w:rsid w:val="00BB3BCA"/>
    <w:rsid w:val="00BC176B"/>
    <w:rsid w:val="00BC5F5F"/>
    <w:rsid w:val="00BE7B27"/>
    <w:rsid w:val="00C0213F"/>
    <w:rsid w:val="00C114EE"/>
    <w:rsid w:val="00C13B09"/>
    <w:rsid w:val="00C246B2"/>
    <w:rsid w:val="00C316F8"/>
    <w:rsid w:val="00C36DD6"/>
    <w:rsid w:val="00C629C6"/>
    <w:rsid w:val="00C67EAD"/>
    <w:rsid w:val="00C740BB"/>
    <w:rsid w:val="00C812C2"/>
    <w:rsid w:val="00C85178"/>
    <w:rsid w:val="00C9266A"/>
    <w:rsid w:val="00C92A6F"/>
    <w:rsid w:val="00CC1256"/>
    <w:rsid w:val="00CC4197"/>
    <w:rsid w:val="00CC7204"/>
    <w:rsid w:val="00CD04C1"/>
    <w:rsid w:val="00CD6E7F"/>
    <w:rsid w:val="00CE1FC5"/>
    <w:rsid w:val="00CF20E0"/>
    <w:rsid w:val="00CF7617"/>
    <w:rsid w:val="00D1155F"/>
    <w:rsid w:val="00D15ADA"/>
    <w:rsid w:val="00D20AE2"/>
    <w:rsid w:val="00D26B44"/>
    <w:rsid w:val="00D34AAC"/>
    <w:rsid w:val="00D57D2D"/>
    <w:rsid w:val="00D635A8"/>
    <w:rsid w:val="00D67109"/>
    <w:rsid w:val="00D70283"/>
    <w:rsid w:val="00D70A9D"/>
    <w:rsid w:val="00D70BD9"/>
    <w:rsid w:val="00D7234A"/>
    <w:rsid w:val="00D73FC4"/>
    <w:rsid w:val="00D835C8"/>
    <w:rsid w:val="00D9085D"/>
    <w:rsid w:val="00D954F5"/>
    <w:rsid w:val="00D963AD"/>
    <w:rsid w:val="00DB15BC"/>
    <w:rsid w:val="00DC3E86"/>
    <w:rsid w:val="00DD5A59"/>
    <w:rsid w:val="00DD5B43"/>
    <w:rsid w:val="00DE774C"/>
    <w:rsid w:val="00DF08CE"/>
    <w:rsid w:val="00DF134D"/>
    <w:rsid w:val="00DF5E06"/>
    <w:rsid w:val="00E061DC"/>
    <w:rsid w:val="00E122D1"/>
    <w:rsid w:val="00E20110"/>
    <w:rsid w:val="00E2598D"/>
    <w:rsid w:val="00E4088F"/>
    <w:rsid w:val="00E5385B"/>
    <w:rsid w:val="00E64259"/>
    <w:rsid w:val="00E70EC7"/>
    <w:rsid w:val="00E85592"/>
    <w:rsid w:val="00EA2294"/>
    <w:rsid w:val="00EC121F"/>
    <w:rsid w:val="00EF08A7"/>
    <w:rsid w:val="00EF08F5"/>
    <w:rsid w:val="00F10265"/>
    <w:rsid w:val="00F23197"/>
    <w:rsid w:val="00F35691"/>
    <w:rsid w:val="00F36419"/>
    <w:rsid w:val="00F47EEA"/>
    <w:rsid w:val="00F5038C"/>
    <w:rsid w:val="00F53610"/>
    <w:rsid w:val="00F54A77"/>
    <w:rsid w:val="00F61F86"/>
    <w:rsid w:val="00F627BC"/>
    <w:rsid w:val="00F70F9A"/>
    <w:rsid w:val="00F80183"/>
    <w:rsid w:val="00FA068A"/>
    <w:rsid w:val="00FC1212"/>
    <w:rsid w:val="00FC3ABC"/>
    <w:rsid w:val="00FC5097"/>
    <w:rsid w:val="00FC56D9"/>
    <w:rsid w:val="00FD0AC8"/>
    <w:rsid w:val="00FD28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8A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01C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rsid w:val="002A7C4A"/>
    <w:pPr>
      <w:suppressAutoHyphens/>
      <w:ind w:firstLine="567"/>
      <w:jc w:val="both"/>
    </w:pPr>
    <w:rPr>
      <w:b/>
      <w:color w:val="000000"/>
      <w:lang w:val="ru-RU" w:eastAsia="ar-SA"/>
    </w:rPr>
  </w:style>
  <w:style w:type="paragraph" w:customStyle="1" w:styleId="1">
    <w:name w:val="Стиль1"/>
    <w:basedOn w:val="a"/>
    <w:rsid w:val="00D835C8"/>
    <w:pPr>
      <w:suppressAutoHyphens/>
    </w:pPr>
    <w:rPr>
      <w:lang w:val="ru-RU" w:eastAsia="zh-CN"/>
    </w:rPr>
  </w:style>
  <w:style w:type="paragraph" w:styleId="a3">
    <w:name w:val="Normal (Web)"/>
    <w:basedOn w:val="a"/>
    <w:rsid w:val="00072B5F"/>
    <w:pPr>
      <w:spacing w:before="100" w:beforeAutospacing="1" w:after="119"/>
    </w:pPr>
  </w:style>
  <w:style w:type="character" w:styleId="a4">
    <w:name w:val="Emphasis"/>
    <w:qFormat/>
    <w:rsid w:val="00072B5F"/>
    <w:rPr>
      <w:i/>
      <w:iCs/>
    </w:rPr>
  </w:style>
  <w:style w:type="paragraph" w:customStyle="1" w:styleId="a5">
    <w:name w:val="Знак Знак Знак"/>
    <w:basedOn w:val="a"/>
    <w:rsid w:val="00072B5F"/>
    <w:rPr>
      <w:rFonts w:ascii="Verdana" w:hAnsi="Verdana" w:cs="Verdana"/>
      <w:sz w:val="20"/>
      <w:szCs w:val="20"/>
      <w:lang w:val="en-US" w:eastAsia="en-US"/>
    </w:rPr>
  </w:style>
  <w:style w:type="paragraph" w:customStyle="1" w:styleId="Normal1">
    <w:name w:val="Normal1"/>
    <w:rsid w:val="003A305E"/>
    <w:pPr>
      <w:widowControl w:val="0"/>
    </w:pPr>
    <w:rPr>
      <w:snapToGrid w:val="0"/>
      <w:lang w:val="ru-RU" w:eastAsia="ru-RU"/>
    </w:rPr>
  </w:style>
  <w:style w:type="table" w:styleId="a6">
    <w:name w:val="Table Grid"/>
    <w:basedOn w:val="a1"/>
    <w:rsid w:val="00BE7B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rsid w:val="00BE7B27"/>
    <w:pPr>
      <w:tabs>
        <w:tab w:val="center" w:pos="4819"/>
        <w:tab w:val="right" w:pos="9639"/>
      </w:tabs>
    </w:pPr>
  </w:style>
  <w:style w:type="character" w:styleId="a8">
    <w:name w:val="page number"/>
    <w:basedOn w:val="a0"/>
    <w:rsid w:val="00BE7B27"/>
  </w:style>
  <w:style w:type="paragraph" w:customStyle="1" w:styleId="a9">
    <w:name w:val="Знак Знак"/>
    <w:basedOn w:val="a"/>
    <w:rsid w:val="00CC7204"/>
    <w:rPr>
      <w:rFonts w:ascii="Verdana" w:hAnsi="Verdana" w:cs="Verdana"/>
      <w:sz w:val="20"/>
      <w:szCs w:val="20"/>
      <w:lang w:val="en-US" w:eastAsia="en-US"/>
    </w:rPr>
  </w:style>
  <w:style w:type="paragraph" w:styleId="aa">
    <w:name w:val="Balloon Text"/>
    <w:basedOn w:val="a"/>
    <w:link w:val="ab"/>
    <w:rsid w:val="004A1F46"/>
    <w:rPr>
      <w:rFonts w:ascii="Tahoma" w:hAnsi="Tahoma" w:cs="Tahoma"/>
      <w:sz w:val="16"/>
      <w:szCs w:val="16"/>
    </w:rPr>
  </w:style>
  <w:style w:type="character" w:customStyle="1" w:styleId="ab">
    <w:name w:val="Текст выноски Знак"/>
    <w:link w:val="aa"/>
    <w:rsid w:val="004A1F46"/>
    <w:rPr>
      <w:rFonts w:ascii="Tahoma" w:hAnsi="Tahoma" w:cs="Tahoma"/>
      <w:sz w:val="16"/>
      <w:szCs w:val="16"/>
      <w:lang w:eastAsia="uk-UA"/>
    </w:rPr>
  </w:style>
  <w:style w:type="character" w:customStyle="1" w:styleId="longtext">
    <w:name w:val="long_text"/>
    <w:uiPriority w:val="99"/>
    <w:rsid w:val="00105A21"/>
  </w:style>
  <w:style w:type="paragraph" w:customStyle="1" w:styleId="Standard">
    <w:name w:val="Standard"/>
    <w:rsid w:val="00025B72"/>
    <w:pPr>
      <w:suppressAutoHyphens/>
    </w:pPr>
    <w:rPr>
      <w:rFonts w:ascii="Arial" w:hAnsi="Arial" w:cs="Arial"/>
      <w:sz w:val="24"/>
      <w:szCs w:val="24"/>
      <w:lang w:val="ru-RU" w:eastAsia="ar-SA"/>
    </w:rPr>
  </w:style>
  <w:style w:type="paragraph" w:styleId="ac">
    <w:name w:val="Revision"/>
    <w:hidden/>
    <w:uiPriority w:val="99"/>
    <w:semiHidden/>
    <w:rsid w:val="00AB1BF8"/>
    <w:rPr>
      <w:sz w:val="24"/>
      <w:szCs w:val="24"/>
    </w:rPr>
  </w:style>
  <w:style w:type="character" w:styleId="ad">
    <w:name w:val="annotation reference"/>
    <w:basedOn w:val="a0"/>
    <w:rsid w:val="00B40B49"/>
    <w:rPr>
      <w:sz w:val="16"/>
      <w:szCs w:val="16"/>
    </w:rPr>
  </w:style>
  <w:style w:type="paragraph" w:styleId="ae">
    <w:name w:val="annotation text"/>
    <w:basedOn w:val="a"/>
    <w:link w:val="af"/>
    <w:rsid w:val="00B40B49"/>
    <w:rPr>
      <w:sz w:val="20"/>
      <w:szCs w:val="20"/>
    </w:rPr>
  </w:style>
  <w:style w:type="character" w:customStyle="1" w:styleId="af">
    <w:name w:val="Текст примечания Знак"/>
    <w:basedOn w:val="a0"/>
    <w:link w:val="ae"/>
    <w:rsid w:val="00B40B49"/>
  </w:style>
  <w:style w:type="paragraph" w:styleId="af0">
    <w:name w:val="annotation subject"/>
    <w:basedOn w:val="ae"/>
    <w:next w:val="ae"/>
    <w:link w:val="af1"/>
    <w:rsid w:val="00B40B49"/>
    <w:rPr>
      <w:b/>
      <w:bCs/>
    </w:rPr>
  </w:style>
  <w:style w:type="character" w:customStyle="1" w:styleId="af1">
    <w:name w:val="Тема примечания Знак"/>
    <w:basedOn w:val="af"/>
    <w:link w:val="af0"/>
    <w:rsid w:val="00B40B4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01C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rsid w:val="002A7C4A"/>
    <w:pPr>
      <w:suppressAutoHyphens/>
      <w:ind w:firstLine="567"/>
      <w:jc w:val="both"/>
    </w:pPr>
    <w:rPr>
      <w:b/>
      <w:color w:val="000000"/>
      <w:lang w:val="ru-RU" w:eastAsia="ar-SA"/>
    </w:rPr>
  </w:style>
  <w:style w:type="paragraph" w:customStyle="1" w:styleId="1">
    <w:name w:val="Стиль1"/>
    <w:basedOn w:val="a"/>
    <w:rsid w:val="00D835C8"/>
    <w:pPr>
      <w:suppressAutoHyphens/>
    </w:pPr>
    <w:rPr>
      <w:lang w:val="ru-RU" w:eastAsia="zh-CN"/>
    </w:rPr>
  </w:style>
  <w:style w:type="paragraph" w:styleId="a3">
    <w:name w:val="Normal (Web)"/>
    <w:basedOn w:val="a"/>
    <w:rsid w:val="00072B5F"/>
    <w:pPr>
      <w:spacing w:before="100" w:beforeAutospacing="1" w:after="119"/>
    </w:pPr>
  </w:style>
  <w:style w:type="character" w:styleId="a4">
    <w:name w:val="Emphasis"/>
    <w:qFormat/>
    <w:rsid w:val="00072B5F"/>
    <w:rPr>
      <w:i/>
      <w:iCs/>
    </w:rPr>
  </w:style>
  <w:style w:type="paragraph" w:customStyle="1" w:styleId="a5">
    <w:name w:val="Знак Знак Знак"/>
    <w:basedOn w:val="a"/>
    <w:rsid w:val="00072B5F"/>
    <w:rPr>
      <w:rFonts w:ascii="Verdana" w:hAnsi="Verdana" w:cs="Verdana"/>
      <w:sz w:val="20"/>
      <w:szCs w:val="20"/>
      <w:lang w:val="en-US" w:eastAsia="en-US"/>
    </w:rPr>
  </w:style>
  <w:style w:type="paragraph" w:customStyle="1" w:styleId="Normal1">
    <w:name w:val="Normal1"/>
    <w:rsid w:val="003A305E"/>
    <w:pPr>
      <w:widowControl w:val="0"/>
    </w:pPr>
    <w:rPr>
      <w:snapToGrid w:val="0"/>
      <w:lang w:val="ru-RU" w:eastAsia="ru-RU"/>
    </w:rPr>
  </w:style>
  <w:style w:type="table" w:styleId="a6">
    <w:name w:val="Table Grid"/>
    <w:basedOn w:val="a1"/>
    <w:rsid w:val="00BE7B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rsid w:val="00BE7B27"/>
    <w:pPr>
      <w:tabs>
        <w:tab w:val="center" w:pos="4819"/>
        <w:tab w:val="right" w:pos="9639"/>
      </w:tabs>
    </w:pPr>
  </w:style>
  <w:style w:type="character" w:styleId="a8">
    <w:name w:val="page number"/>
    <w:basedOn w:val="a0"/>
    <w:rsid w:val="00BE7B27"/>
  </w:style>
  <w:style w:type="paragraph" w:customStyle="1" w:styleId="a9">
    <w:name w:val="Знак Знак"/>
    <w:basedOn w:val="a"/>
    <w:rsid w:val="00CC7204"/>
    <w:rPr>
      <w:rFonts w:ascii="Verdana" w:hAnsi="Verdana" w:cs="Verdana"/>
      <w:sz w:val="20"/>
      <w:szCs w:val="20"/>
      <w:lang w:val="en-US" w:eastAsia="en-US"/>
    </w:rPr>
  </w:style>
  <w:style w:type="paragraph" w:styleId="aa">
    <w:name w:val="Balloon Text"/>
    <w:basedOn w:val="a"/>
    <w:link w:val="ab"/>
    <w:rsid w:val="004A1F46"/>
    <w:rPr>
      <w:rFonts w:ascii="Tahoma" w:hAnsi="Tahoma" w:cs="Tahoma"/>
      <w:sz w:val="16"/>
      <w:szCs w:val="16"/>
    </w:rPr>
  </w:style>
  <w:style w:type="character" w:customStyle="1" w:styleId="ab">
    <w:name w:val="Текст выноски Знак"/>
    <w:link w:val="aa"/>
    <w:rsid w:val="004A1F46"/>
    <w:rPr>
      <w:rFonts w:ascii="Tahoma" w:hAnsi="Tahoma" w:cs="Tahoma"/>
      <w:sz w:val="16"/>
      <w:szCs w:val="16"/>
      <w:lang w:eastAsia="uk-UA"/>
    </w:rPr>
  </w:style>
  <w:style w:type="character" w:customStyle="1" w:styleId="longtext">
    <w:name w:val="long_text"/>
    <w:uiPriority w:val="99"/>
    <w:rsid w:val="00105A21"/>
  </w:style>
  <w:style w:type="paragraph" w:customStyle="1" w:styleId="Standard">
    <w:name w:val="Standard"/>
    <w:rsid w:val="00025B72"/>
    <w:pPr>
      <w:suppressAutoHyphens/>
    </w:pPr>
    <w:rPr>
      <w:rFonts w:ascii="Arial" w:hAnsi="Arial" w:cs="Arial"/>
      <w:sz w:val="24"/>
      <w:szCs w:val="24"/>
      <w:lang w:val="ru-RU" w:eastAsia="ar-SA"/>
    </w:rPr>
  </w:style>
  <w:style w:type="paragraph" w:styleId="ac">
    <w:name w:val="Revision"/>
    <w:hidden/>
    <w:uiPriority w:val="99"/>
    <w:semiHidden/>
    <w:rsid w:val="00AB1BF8"/>
    <w:rPr>
      <w:sz w:val="24"/>
      <w:szCs w:val="24"/>
    </w:rPr>
  </w:style>
  <w:style w:type="character" w:styleId="ad">
    <w:name w:val="annotation reference"/>
    <w:basedOn w:val="a0"/>
    <w:rsid w:val="00B40B49"/>
    <w:rPr>
      <w:sz w:val="16"/>
      <w:szCs w:val="16"/>
    </w:rPr>
  </w:style>
  <w:style w:type="paragraph" w:styleId="ae">
    <w:name w:val="annotation text"/>
    <w:basedOn w:val="a"/>
    <w:link w:val="af"/>
    <w:rsid w:val="00B40B49"/>
    <w:rPr>
      <w:sz w:val="20"/>
      <w:szCs w:val="20"/>
    </w:rPr>
  </w:style>
  <w:style w:type="character" w:customStyle="1" w:styleId="af">
    <w:name w:val="Текст примечания Знак"/>
    <w:basedOn w:val="a0"/>
    <w:link w:val="ae"/>
    <w:rsid w:val="00B40B49"/>
  </w:style>
  <w:style w:type="paragraph" w:styleId="af0">
    <w:name w:val="annotation subject"/>
    <w:basedOn w:val="ae"/>
    <w:next w:val="ae"/>
    <w:link w:val="af1"/>
    <w:rsid w:val="00B40B49"/>
    <w:rPr>
      <w:b/>
      <w:bCs/>
    </w:rPr>
  </w:style>
  <w:style w:type="character" w:customStyle="1" w:styleId="af1">
    <w:name w:val="Тема примечания Знак"/>
    <w:basedOn w:val="af"/>
    <w:link w:val="af0"/>
    <w:rsid w:val="00B40B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975625">
      <w:bodyDiv w:val="1"/>
      <w:marLeft w:val="0"/>
      <w:marRight w:val="0"/>
      <w:marTop w:val="0"/>
      <w:marBottom w:val="0"/>
      <w:divBdr>
        <w:top w:val="none" w:sz="0" w:space="0" w:color="auto"/>
        <w:left w:val="none" w:sz="0" w:space="0" w:color="auto"/>
        <w:bottom w:val="none" w:sz="0" w:space="0" w:color="auto"/>
        <w:right w:val="none" w:sz="0" w:space="0" w:color="auto"/>
      </w:divBdr>
    </w:div>
    <w:div w:id="606079767">
      <w:bodyDiv w:val="1"/>
      <w:marLeft w:val="0"/>
      <w:marRight w:val="0"/>
      <w:marTop w:val="0"/>
      <w:marBottom w:val="0"/>
      <w:divBdr>
        <w:top w:val="none" w:sz="0" w:space="0" w:color="auto"/>
        <w:left w:val="none" w:sz="0" w:space="0" w:color="auto"/>
        <w:bottom w:val="none" w:sz="0" w:space="0" w:color="auto"/>
        <w:right w:val="none" w:sz="0" w:space="0" w:color="auto"/>
      </w:divBdr>
    </w:div>
    <w:div w:id="699356949">
      <w:bodyDiv w:val="1"/>
      <w:marLeft w:val="0"/>
      <w:marRight w:val="0"/>
      <w:marTop w:val="0"/>
      <w:marBottom w:val="0"/>
      <w:divBdr>
        <w:top w:val="none" w:sz="0" w:space="0" w:color="auto"/>
        <w:left w:val="none" w:sz="0" w:space="0" w:color="auto"/>
        <w:bottom w:val="none" w:sz="0" w:space="0" w:color="auto"/>
        <w:right w:val="none" w:sz="0" w:space="0" w:color="auto"/>
      </w:divBdr>
    </w:div>
    <w:div w:id="1336808758">
      <w:bodyDiv w:val="1"/>
      <w:marLeft w:val="0"/>
      <w:marRight w:val="0"/>
      <w:marTop w:val="0"/>
      <w:marBottom w:val="0"/>
      <w:divBdr>
        <w:top w:val="none" w:sz="0" w:space="0" w:color="auto"/>
        <w:left w:val="none" w:sz="0" w:space="0" w:color="auto"/>
        <w:bottom w:val="none" w:sz="0" w:space="0" w:color="auto"/>
        <w:right w:val="none" w:sz="0" w:space="0" w:color="auto"/>
      </w:divBdr>
    </w:div>
    <w:div w:id="1361276024">
      <w:bodyDiv w:val="1"/>
      <w:marLeft w:val="0"/>
      <w:marRight w:val="0"/>
      <w:marTop w:val="0"/>
      <w:marBottom w:val="0"/>
      <w:divBdr>
        <w:top w:val="none" w:sz="0" w:space="0" w:color="auto"/>
        <w:left w:val="none" w:sz="0" w:space="0" w:color="auto"/>
        <w:bottom w:val="none" w:sz="0" w:space="0" w:color="auto"/>
        <w:right w:val="none" w:sz="0" w:space="0" w:color="auto"/>
      </w:divBdr>
    </w:div>
    <w:div w:id="1468933697">
      <w:bodyDiv w:val="1"/>
      <w:marLeft w:val="0"/>
      <w:marRight w:val="0"/>
      <w:marTop w:val="0"/>
      <w:marBottom w:val="0"/>
      <w:divBdr>
        <w:top w:val="none" w:sz="0" w:space="0" w:color="auto"/>
        <w:left w:val="none" w:sz="0" w:space="0" w:color="auto"/>
        <w:bottom w:val="none" w:sz="0" w:space="0" w:color="auto"/>
        <w:right w:val="none" w:sz="0" w:space="0" w:color="auto"/>
      </w:divBdr>
    </w:div>
    <w:div w:id="1522040408">
      <w:bodyDiv w:val="1"/>
      <w:marLeft w:val="0"/>
      <w:marRight w:val="0"/>
      <w:marTop w:val="0"/>
      <w:marBottom w:val="0"/>
      <w:divBdr>
        <w:top w:val="none" w:sz="0" w:space="0" w:color="auto"/>
        <w:left w:val="none" w:sz="0" w:space="0" w:color="auto"/>
        <w:bottom w:val="none" w:sz="0" w:space="0" w:color="auto"/>
        <w:right w:val="none" w:sz="0" w:space="0" w:color="auto"/>
      </w:divBdr>
    </w:div>
    <w:div w:id="1574586586">
      <w:bodyDiv w:val="1"/>
      <w:marLeft w:val="0"/>
      <w:marRight w:val="0"/>
      <w:marTop w:val="0"/>
      <w:marBottom w:val="0"/>
      <w:divBdr>
        <w:top w:val="none" w:sz="0" w:space="0" w:color="auto"/>
        <w:left w:val="none" w:sz="0" w:space="0" w:color="auto"/>
        <w:bottom w:val="none" w:sz="0" w:space="0" w:color="auto"/>
        <w:right w:val="none" w:sz="0" w:space="0" w:color="auto"/>
      </w:divBdr>
    </w:div>
    <w:div w:id="182774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6791B-CF00-4500-8362-119E5B7B474E}">
  <ds:schemaRefs>
    <ds:schemaRef ds:uri="http://schemas.openxmlformats.org/officeDocument/2006/bibliography"/>
  </ds:schemaRefs>
</ds:datastoreItem>
</file>

<file path=docMetadata/LabelInfo.xml><?xml version="1.0" encoding="utf-8"?>
<clbl:labelList xmlns:clbl="http://schemas.microsoft.com/office/2020/mipLabelMetadata">
  <clbl:label id="{bfd0b529-4a04-4616-88d2-531082d94bb8}" enabled="1" method="Standard" siteId="{e1f8af86-ee95-4718-bd0d-375b37366c83}" contentBits="0" removed="0"/>
</clbl:labelList>
</file>

<file path=docProps/app.xml><?xml version="1.0" encoding="utf-8"?>
<Properties xmlns="http://schemas.openxmlformats.org/officeDocument/2006/extended-properties" xmlns:vt="http://schemas.openxmlformats.org/officeDocument/2006/docPropsVTypes">
  <Template>Normal.dotm</Template>
  <TotalTime>348</TotalTime>
  <Pages>4</Pages>
  <Words>1624</Words>
  <Characters>11612</Characters>
  <Application>Microsoft Office Word</Application>
  <DocSecurity>0</DocSecurity>
  <Lines>96</Lines>
  <Paragraphs>26</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Коротка характеристика препарату</vt:lpstr>
      <vt:lpstr>Коротка характеристика препарату</vt:lpstr>
      <vt:lpstr>Коротка характеристика препарату</vt:lpstr>
    </vt:vector>
  </TitlesOfParts>
  <Company>***</Company>
  <LinksUpToDate>false</LinksUpToDate>
  <CharactersWithSpaces>13210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Коротка характеристика препарату</dc:title>
  <dc:subject/>
  <dc:creator>peet</dc:creator>
  <cp:keywords/>
  <cp:lastModifiedBy>expert_13</cp:lastModifiedBy>
  <cp:revision>72</cp:revision>
  <dcterms:created xsi:type="dcterms:W3CDTF">2024-12-16T12:18:00Z</dcterms:created>
  <dcterms:modified xsi:type="dcterms:W3CDTF">2026-07-23T13:44:00Z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d0b529-4a04-4616-88d2-531082d94bb8_Enabled">
    <vt:lpwstr>true</vt:lpwstr>
  </property>
  <property fmtid="{D5CDD505-2E9C-101B-9397-08002B2CF9AE}" pid="3" name="MSIP_Label_bfd0b529-4a04-4616-88d2-531082d94bb8_SetDate">
    <vt:lpwstr>2024-12-16T12:18:34Z</vt:lpwstr>
  </property>
  <property fmtid="{D5CDD505-2E9C-101B-9397-08002B2CF9AE}" pid="4" name="MSIP_Label_bfd0b529-4a04-4616-88d2-531082d94bb8_Method">
    <vt:lpwstr>Standard</vt:lpwstr>
  </property>
  <property fmtid="{D5CDD505-2E9C-101B-9397-08002B2CF9AE}" pid="5" name="MSIP_Label_bfd0b529-4a04-4616-88d2-531082d94bb8_Name">
    <vt:lpwstr>Internal Use</vt:lpwstr>
  </property>
  <property fmtid="{D5CDD505-2E9C-101B-9397-08002B2CF9AE}" pid="6" name="MSIP_Label_bfd0b529-4a04-4616-88d2-531082d94bb8_SiteId">
    <vt:lpwstr>e1f8af86-ee95-4718-bd0d-375b37366c83</vt:lpwstr>
  </property>
  <property fmtid="{D5CDD505-2E9C-101B-9397-08002B2CF9AE}" pid="7" name="MSIP_Label_bfd0b529-4a04-4616-88d2-531082d94bb8_ActionId">
    <vt:lpwstr>3f01cf94-7995-4e9d-a848-0be84f4504a4</vt:lpwstr>
  </property>
  <property fmtid="{D5CDD505-2E9C-101B-9397-08002B2CF9AE}" pid="8" name="MSIP_Label_bfd0b529-4a04-4616-88d2-531082d94bb8_ContentBits">
    <vt:lpwstr>0</vt:lpwstr>
  </property>
</Properties>
</file>