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57" w:rsidRPr="00C504F6" w:rsidRDefault="002D7E57" w:rsidP="00BF7B51">
      <w:pPr>
        <w:spacing w:after="0" w:line="276" w:lineRule="auto"/>
        <w:ind w:firstLine="567"/>
        <w:jc w:val="right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Додаток 1</w:t>
      </w:r>
    </w:p>
    <w:p w:rsidR="002D7E57" w:rsidRPr="00C504F6" w:rsidRDefault="002D7E57" w:rsidP="00BF7B51">
      <w:pPr>
        <w:spacing w:after="0" w:line="276" w:lineRule="auto"/>
        <w:ind w:firstLine="567"/>
        <w:jc w:val="right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до реєстраційного посвідчення АВ-</w:t>
      </w:r>
    </w:p>
    <w:p w:rsidR="002D7E57" w:rsidRPr="00C504F6" w:rsidRDefault="002D7E57" w:rsidP="00BF7B51">
      <w:pPr>
        <w:spacing w:after="0" w:line="276" w:lineRule="auto"/>
        <w:jc w:val="right"/>
        <w:rPr>
          <w:rFonts w:ascii="Times New Roman" w:hAnsi="Times New Roman"/>
          <w:kern w:val="0"/>
          <w:sz w:val="24"/>
          <w:szCs w:val="24"/>
        </w:rPr>
      </w:pPr>
    </w:p>
    <w:p w:rsidR="002D7E57" w:rsidRPr="00C504F6" w:rsidRDefault="002D7E57" w:rsidP="00BF7B51">
      <w:pPr>
        <w:spacing w:after="200" w:line="276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Коротка характеристика препарату</w:t>
      </w:r>
    </w:p>
    <w:p w:rsidR="002D7E57" w:rsidRPr="00C504F6" w:rsidRDefault="002D7E57" w:rsidP="004B70D8">
      <w:pPr>
        <w:spacing w:after="0" w:line="240" w:lineRule="auto"/>
        <w:ind w:firstLine="709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1. Назва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vertAlign w:val="superscript"/>
        </w:rPr>
      </w:pPr>
      <w:r w:rsidRPr="00C504F6">
        <w:rPr>
          <w:rFonts w:ascii="Times New Roman" w:hAnsi="Times New Roman"/>
          <w:kern w:val="0"/>
          <w:sz w:val="24"/>
          <w:szCs w:val="24"/>
        </w:rPr>
        <w:t>Декстродев 50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2. Склад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val="ru-RU"/>
        </w:rPr>
        <w:t xml:space="preserve">1 мл препарату містить діючу речовину: 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глюкозу (декстрозу) (у перерахунку на безводну) </w:t>
      </w:r>
      <w:r w:rsidRPr="00C504F6">
        <w:rPr>
          <w:rFonts w:ascii="Times New Roman" w:hAnsi="Times New Roman"/>
          <w:kern w:val="0"/>
          <w:sz w:val="24"/>
          <w:szCs w:val="24"/>
          <w:lang w:eastAsia="ru-RU"/>
        </w:rPr>
        <w:t xml:space="preserve">— 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500,0 мг.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kern w:val="0"/>
          <w:sz w:val="24"/>
          <w:szCs w:val="24"/>
          <w:lang w:eastAsia="ru-RU"/>
        </w:rPr>
        <w:t>Допоміжні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речовини: натрію хлорид, кислота хлористоводнева, вода для ін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val="ru-RU" w:eastAsia="ru-RU"/>
        </w:rPr>
        <w:t>’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єкцій.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3. Фармацевтична форма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Розчин для ін’єкцій.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4. Фармакологічні властивості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000000"/>
          <w:kern w:val="0"/>
          <w:sz w:val="24"/>
          <w:szCs w:val="24"/>
        </w:rPr>
      </w:pPr>
      <w:r w:rsidRPr="00C504F6">
        <w:rPr>
          <w:rFonts w:ascii="Times New Roman" w:hAnsi="Times New Roman"/>
          <w:b/>
          <w:i/>
          <w:kern w:val="0"/>
          <w:sz w:val="24"/>
          <w:szCs w:val="24"/>
        </w:rPr>
        <w:t xml:space="preserve">АТС-vet класифікаційний код: </w:t>
      </w:r>
      <w:r w:rsidRPr="00C504F6">
        <w:rPr>
          <w:rFonts w:ascii="Times New Roman" w:hAnsi="Times New Roman"/>
          <w:b/>
          <w:bCs/>
          <w:i/>
          <w:color w:val="000000"/>
          <w:kern w:val="0"/>
          <w:sz w:val="24"/>
          <w:szCs w:val="24"/>
          <w:lang w:val="ru-RU"/>
        </w:rPr>
        <w:t xml:space="preserve">QB05 – Кровозамінники і розчини для вливань. QB05ВА03 </w:t>
      </w:r>
      <w:r w:rsidRPr="00C504F6">
        <w:rPr>
          <w:rFonts w:ascii="Times New Roman" w:hAnsi="Times New Roman"/>
          <w:b/>
          <w:bCs/>
          <w:i/>
          <w:kern w:val="0"/>
          <w:sz w:val="24"/>
          <w:szCs w:val="24"/>
        </w:rPr>
        <w:t>-</w:t>
      </w:r>
      <w:r w:rsidRPr="00C504F6">
        <w:rPr>
          <w:rFonts w:ascii="Times New Roman" w:hAnsi="Times New Roman"/>
          <w:b/>
          <w:bCs/>
          <w:i/>
          <w:kern w:val="0"/>
          <w:sz w:val="24"/>
          <w:szCs w:val="24"/>
          <w:lang w:val="ru-RU"/>
        </w:rPr>
        <w:t xml:space="preserve"> </w:t>
      </w:r>
      <w:r w:rsidRPr="00C504F6">
        <w:rPr>
          <w:rFonts w:ascii="Times New Roman" w:hAnsi="Times New Roman"/>
          <w:b/>
          <w:bCs/>
          <w:i/>
          <w:color w:val="000000"/>
          <w:kern w:val="0"/>
          <w:sz w:val="24"/>
          <w:szCs w:val="24"/>
          <w:lang w:val="ru-RU"/>
        </w:rPr>
        <w:t>Розчини</w:t>
      </w:r>
      <w:r w:rsidRPr="00C504F6">
        <w:rPr>
          <w:rFonts w:ascii="Times New Roman" w:hAnsi="Times New Roman"/>
          <w:b/>
          <w:bCs/>
          <w:i/>
          <w:color w:val="000000"/>
          <w:kern w:val="0"/>
          <w:sz w:val="24"/>
          <w:szCs w:val="24"/>
        </w:rPr>
        <w:t xml:space="preserve"> </w:t>
      </w:r>
      <w:r w:rsidRPr="00C504F6">
        <w:rPr>
          <w:rFonts w:ascii="Times New Roman" w:hAnsi="Times New Roman"/>
          <w:b/>
          <w:bCs/>
          <w:i/>
          <w:color w:val="000000"/>
          <w:kern w:val="0"/>
          <w:sz w:val="24"/>
          <w:szCs w:val="24"/>
          <w:lang w:val="ru-RU"/>
        </w:rPr>
        <w:t>вуглеводів.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Після внутрішньовенного введення гіпертонічного розчину глюкози 50% змінюється осмотично–динамічна рівновага між плазмою крові та тканинною рідиною, підвищується осмотичний тиск, збільшується потік рідини, а разом з ним і поступлення продуктів обміну речовин і токсинів із тканин у кров, пришвидшуються процеси обміну, посилюється діурез, покращується робота серця, розширюються судини. Глюкоза безпосередньо впливає на перебіг біохімічних процесів в тканинах, забезпечує енергетичне постачання, пов'язане з гліколізом, активізує функцію внутрішніх органів.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Глюкоза є джерелом легкозасвоюваної енергії при посиленій функціональній діяльності мозку, поліпшує вегетативну іннервацію. Разом з галактозою і лактозою використовується для синтезу ацетилхоліну; активізує скоротливу функцію міокарда, особливо при перевтомі, поліпшує коронарний кровообіг, підвищує працездатність серцевого м'яза при надмірних навантаженнях, внаслідок інфекційних захворювань та інтоксикацій. Глюкоза </w:t>
      </w:r>
      <w:r w:rsidRPr="00C504F6">
        <w:rPr>
          <w:rFonts w:ascii="Times New Roman" w:hAnsi="Times New Roman"/>
          <w:kern w:val="0"/>
          <w:sz w:val="24"/>
          <w:szCs w:val="24"/>
          <w:lang w:eastAsia="ru-RU"/>
        </w:rPr>
        <w:t>посилює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скоротливість матки при родах та у післяродовий період, у випадку метриту має протизапальну дію; є стимулятором м’язової роботи. Утворення енергії при скороченні поперечносмугастих м’язів пов’язане з </w:t>
      </w:r>
      <w:r w:rsidRPr="00C504F6">
        <w:rPr>
          <w:rFonts w:ascii="Times New Roman" w:hAnsi="Times New Roman"/>
          <w:kern w:val="0"/>
          <w:sz w:val="24"/>
          <w:szCs w:val="24"/>
          <w:lang w:eastAsia="ru-RU"/>
        </w:rPr>
        <w:t>розщепленням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креатинфосфорної кислоти і використанням легкозасвоюваних вуглеводів, таких як глюкоза. 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Протитоксична дія глюкози пов’язана із її здатністю утворювати з отрутами та токсинами комплексні, менш токсичні сполуки, а підвищення діурезу сприяє виведенню їх із організму.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 Клінічні особливості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5.1 Вид тварин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Велика рогата худоба.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5.2 Показання до застосування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4F6">
        <w:rPr>
          <w:rFonts w:ascii="Times New Roman" w:hAnsi="Times New Roman"/>
          <w:sz w:val="24"/>
          <w:szCs w:val="24"/>
        </w:rPr>
        <w:t>Лікування лактуючих корів у післяродовий період у складі комплексної терапії при кетозі, кетонурії, токсемії молочних корів та інших станах, що супроводжуються порушенням енергетичного обміну, зниженням апетиту, пригніченням загального стану та молочної продуктивності.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5.3 Протипоказання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Не застосовувати при гіперглікемії.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5.4 Побічна дія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uk-UA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uk-UA"/>
        </w:rPr>
        <w:t>Відсутня.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5.5 Особливі застереження при використанні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Не вводити підшкір</w:t>
      </w:r>
      <w:r w:rsidRPr="00C504F6">
        <w:rPr>
          <w:rFonts w:ascii="Times New Roman" w:hAnsi="Times New Roman"/>
          <w:kern w:val="0"/>
          <w:sz w:val="24"/>
          <w:szCs w:val="24"/>
          <w:lang w:eastAsia="ru-RU"/>
        </w:rPr>
        <w:t>но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— можливе виникнення некрозу підшкірної клітковини. 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При швидкому введенні у вену існує ризик виникнення флебітів, тромбів. 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5.6 Використання під час вагітності, лактації, несучості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uk-UA"/>
        </w:rPr>
        <w:t>Без особливостей.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5.7 Взаємодія з іншими засобами або інші форми взаємодії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Розчин глюкози несумісний із гексаметилентетраміном (уротропіном), розчинами алкалоїдів (викликає їх розклад), загальними анестетиками (відбувається зниження їх активності). </w:t>
      </w:r>
    </w:p>
    <w:p w:rsidR="002D7E57" w:rsidRPr="00C504F6" w:rsidRDefault="002D7E57" w:rsidP="002622E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Продовження додатку 1</w:t>
      </w:r>
    </w:p>
    <w:p w:rsidR="002D7E57" w:rsidRPr="00C504F6" w:rsidRDefault="002D7E57" w:rsidP="002622E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до реєстраційного посвідчення АВ-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Глюкоза послаблює дію аналгезивних, адреноміметичних засобів, інактивує дію стрептоміцину, зменшує ефективність ністатину.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Розчин глюкози подовжує дію наркотичних засобів, адреналіну, пеніциліну.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5.8 Дози і способи введення тваринам різного віку</w:t>
      </w:r>
    </w:p>
    <w:p w:rsidR="002D7E57" w:rsidRPr="00C504F6" w:rsidRDefault="002D7E57" w:rsidP="00393A58">
      <w:pPr>
        <w:pStyle w:val="pdq2pgselectionanchorcontainer"/>
        <w:spacing w:before="0" w:beforeAutospacing="0" w:after="0" w:afterAutospacing="0"/>
        <w:ind w:firstLine="709"/>
        <w:jc w:val="both"/>
      </w:pPr>
      <w:r w:rsidRPr="00C504F6">
        <w:t>Перед застосуванням препарат підігрівають до температури тіла тварини. Вводять повільно, лише внутрішньовенно.</w:t>
      </w:r>
    </w:p>
    <w:p w:rsidR="002D7E57" w:rsidRPr="00C504F6" w:rsidRDefault="002D7E57" w:rsidP="00393A58">
      <w:pPr>
        <w:pStyle w:val="NormalWeb"/>
        <w:spacing w:before="0" w:beforeAutospacing="0" w:after="0" w:afterAutospacing="0"/>
        <w:ind w:firstLine="709"/>
        <w:jc w:val="both"/>
      </w:pPr>
      <w:r w:rsidRPr="00C504F6">
        <w:t xml:space="preserve">Лактуючим коровам препарат застосовують у дозі </w:t>
      </w:r>
      <w:r w:rsidRPr="00C504F6">
        <w:rPr>
          <w:rStyle w:val="Strong"/>
          <w:b w:val="0"/>
          <w:bCs/>
        </w:rPr>
        <w:t>100–150 мл на одну тварину один раз на добу протягом 3–5 діб</w:t>
      </w:r>
      <w:r w:rsidRPr="00C504F6">
        <w:t xml:space="preserve"> залежно від тяжкості клінічного стану та динаміки одужання.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5.9 Передозування (симптоми, невідкладні заходи, антидоти)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uk-UA"/>
        </w:rPr>
        <w:t>Немає.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5.10 Спеціальні застереження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uk-UA"/>
        </w:rPr>
        <w:t>Немає.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5.11 Період виведення (каренції)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lang w:val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uk-UA"/>
        </w:rPr>
        <w:t>Не вимагається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5.12 Спеціальні застереження для осіб і обслуговуючого персоналу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lang w:val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uk-UA"/>
        </w:rPr>
        <w:t xml:space="preserve">Дотримуватись правил асептики та безпечної фіксації тварин. 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6. Фармацевтичні особливості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6.1 Форми несумісності (основні)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Розчин глюкози несумісний із гексаметилентетраміном (уротропіном), розчинами алкалоїдів (викликає їх розклад), загальними анестетиками (відбувається зниження їх активності). 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6.2 Термін придатності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2 роки.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Після першого відбору із флакона препарат зберігати в холодильнику при температурі від 2 до 8 °C і використати протягом 28 діб.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6.3 Особливі заходи безпеки при зберіганні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</w:rPr>
        <w:t>Сухе темне, недоступне для дітей місце за температури від 5 до 25 °С.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6.4 Природа і склад контейнера первинного пакування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C504F6">
        <w:rPr>
          <w:rFonts w:ascii="Times New Roman" w:hAnsi="Times New Roman"/>
          <w:kern w:val="0"/>
          <w:sz w:val="24"/>
          <w:szCs w:val="24"/>
          <w:lang w:val="ru-RU"/>
        </w:rPr>
        <w:t>Скляні або полімерні ф</w:t>
      </w:r>
      <w:r w:rsidRPr="00C504F6">
        <w:rPr>
          <w:rFonts w:ascii="Times New Roman" w:hAnsi="Times New Roman"/>
          <w:color w:val="000000"/>
          <w:kern w:val="0"/>
          <w:sz w:val="24"/>
          <w:szCs w:val="24"/>
          <w:lang w:val="ru-RU"/>
        </w:rPr>
        <w:t xml:space="preserve">лакони </w:t>
      </w:r>
      <w:r w:rsidRPr="00C504F6">
        <w:rPr>
          <w:rFonts w:ascii="Times New Roman" w:hAnsi="Times New Roman"/>
          <w:kern w:val="0"/>
          <w:sz w:val="24"/>
          <w:szCs w:val="24"/>
          <w:lang w:val="ru-RU"/>
        </w:rPr>
        <w:t>по</w:t>
      </w:r>
      <w:r w:rsidRPr="00C504F6">
        <w:rPr>
          <w:rFonts w:ascii="Times New Roman" w:hAnsi="Times New Roman"/>
          <w:kern w:val="0"/>
          <w:sz w:val="24"/>
          <w:szCs w:val="24"/>
        </w:rPr>
        <w:t xml:space="preserve"> 200, 250 або 400 мл. 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  <w:r w:rsidRPr="00C504F6">
        <w:rPr>
          <w:rFonts w:ascii="Times New Roman" w:hAnsi="Times New Roman"/>
          <w:b/>
          <w:kern w:val="0"/>
          <w:sz w:val="24"/>
          <w:szCs w:val="24"/>
        </w:rPr>
        <w:t>6.5 Особливі заходи безпеки при поводженні з невикористаним препаратом або із його залишками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C504F6">
        <w:rPr>
          <w:rFonts w:ascii="Times New Roman" w:hAnsi="Times New Roman"/>
          <w:kern w:val="0"/>
          <w:sz w:val="24"/>
          <w:szCs w:val="24"/>
          <w:lang w:eastAsia="ru-RU"/>
        </w:rPr>
        <w:t>Невикористаний препарат або його залишки утилізують згідно з чинним законодавством.</w:t>
      </w:r>
    </w:p>
    <w:p w:rsidR="002D7E57" w:rsidRPr="00C504F6" w:rsidRDefault="002D7E57" w:rsidP="004B70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04F6">
        <w:rPr>
          <w:rFonts w:ascii="Times New Roman" w:hAnsi="Times New Roman"/>
          <w:b/>
          <w:sz w:val="24"/>
          <w:szCs w:val="24"/>
          <w:lang w:eastAsia="ru-RU"/>
        </w:rPr>
        <w:t>7. Назва та місцезнаходження власника реєстраційного посвідчення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4F6">
        <w:rPr>
          <w:rFonts w:ascii="Times New Roman" w:hAnsi="Times New Roman"/>
          <w:sz w:val="24"/>
          <w:szCs w:val="24"/>
        </w:rPr>
        <w:t>ПП “Біофарм”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04F6">
        <w:rPr>
          <w:rFonts w:ascii="Times New Roman" w:hAnsi="Times New Roman"/>
          <w:bCs/>
          <w:sz w:val="24"/>
          <w:szCs w:val="24"/>
        </w:rPr>
        <w:t>22300, Україна, Вінницька область, Літинський район, смт Літин, вул. Б. Хмельницького, 37. Тел./факс (04347) 2-21-44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04F6">
        <w:rPr>
          <w:rFonts w:ascii="Times New Roman" w:hAnsi="Times New Roman"/>
          <w:b/>
          <w:sz w:val="24"/>
          <w:szCs w:val="24"/>
          <w:lang w:eastAsia="ru-RU"/>
        </w:rPr>
        <w:t>8. Назва та місцезнаходження виробника (виробників)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04F6">
        <w:rPr>
          <w:rFonts w:ascii="Times New Roman" w:hAnsi="Times New Roman"/>
          <w:sz w:val="24"/>
          <w:szCs w:val="24"/>
        </w:rPr>
        <w:t xml:space="preserve">ТОВ </w:t>
      </w:r>
      <w:r w:rsidRPr="00C504F6">
        <w:rPr>
          <w:rFonts w:ascii="Times New Roman" w:hAnsi="Times New Roman"/>
          <w:bCs/>
          <w:sz w:val="24"/>
          <w:szCs w:val="24"/>
        </w:rPr>
        <w:t>“ДЕВІЕ”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4F6">
        <w:rPr>
          <w:rFonts w:ascii="Times New Roman" w:hAnsi="Times New Roman"/>
          <w:bCs/>
          <w:sz w:val="24"/>
          <w:szCs w:val="24"/>
        </w:rPr>
        <w:t>22300, Україна, Вінницька область, Літинський район, смт Літин, вул. Б. Хмельницького, 37. Тел./факс (04347) 2-21-44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04F6">
        <w:rPr>
          <w:rFonts w:ascii="Times New Roman" w:hAnsi="Times New Roman"/>
          <w:b/>
          <w:sz w:val="24"/>
          <w:szCs w:val="24"/>
          <w:lang w:eastAsia="ru-RU"/>
        </w:rPr>
        <w:t>9. Додаткова інформація</w:t>
      </w: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04F6">
        <w:rPr>
          <w:rFonts w:ascii="Times New Roman" w:hAnsi="Times New Roman"/>
          <w:sz w:val="24"/>
          <w:szCs w:val="24"/>
          <w:lang w:eastAsia="ru-RU"/>
        </w:rPr>
        <w:t>Відсутня.</w:t>
      </w:r>
    </w:p>
    <w:p w:rsidR="002D7E57" w:rsidRPr="00C504F6" w:rsidRDefault="002D7E57" w:rsidP="004B70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kern w:val="24"/>
          <w:sz w:val="24"/>
          <w:szCs w:val="24"/>
        </w:rPr>
      </w:pPr>
    </w:p>
    <w:p w:rsidR="002D7E57" w:rsidRPr="00C504F6" w:rsidRDefault="002D7E57" w:rsidP="004B70D8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2D7E57" w:rsidRPr="00C504F6" w:rsidRDefault="002D7E57">
      <w:pPr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sectPr w:rsidR="002D7E57" w:rsidRPr="00C504F6" w:rsidSect="00503909">
      <w:footerReference w:type="default" r:id="rId6"/>
      <w:pgSz w:w="11906" w:h="16838"/>
      <w:pgMar w:top="567" w:right="454" w:bottom="45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E57" w:rsidRDefault="002D7E57" w:rsidP="003E30F2">
      <w:pPr>
        <w:spacing w:after="0" w:line="240" w:lineRule="auto"/>
      </w:pPr>
      <w:r>
        <w:separator/>
      </w:r>
    </w:p>
  </w:endnote>
  <w:endnote w:type="continuationSeparator" w:id="0">
    <w:p w:rsidR="002D7E57" w:rsidRDefault="002D7E57" w:rsidP="003E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E57" w:rsidRPr="003E30F2" w:rsidRDefault="002D7E57">
    <w:pPr>
      <w:pStyle w:val="Footer"/>
      <w:jc w:val="center"/>
      <w:rPr>
        <w:rFonts w:ascii="Times New Roman" w:hAnsi="Times New Roman"/>
        <w:sz w:val="20"/>
        <w:szCs w:val="20"/>
      </w:rPr>
    </w:pPr>
    <w:r w:rsidRPr="003E30F2">
      <w:rPr>
        <w:rFonts w:ascii="Times New Roman" w:hAnsi="Times New Roman"/>
        <w:sz w:val="20"/>
        <w:szCs w:val="20"/>
      </w:rPr>
      <w:fldChar w:fldCharType="begin"/>
    </w:r>
    <w:r w:rsidRPr="003E30F2">
      <w:rPr>
        <w:rFonts w:ascii="Times New Roman" w:hAnsi="Times New Roman"/>
        <w:sz w:val="20"/>
        <w:szCs w:val="20"/>
      </w:rPr>
      <w:instrText>PAGE   \* MERGEFORMAT</w:instrText>
    </w:r>
    <w:r w:rsidRPr="003E30F2">
      <w:rPr>
        <w:rFonts w:ascii="Times New Roman" w:hAnsi="Times New Roman"/>
        <w:sz w:val="20"/>
        <w:szCs w:val="20"/>
      </w:rPr>
      <w:fldChar w:fldCharType="separate"/>
    </w:r>
    <w:r w:rsidRPr="00C504F6">
      <w:rPr>
        <w:rFonts w:ascii="Times New Roman" w:hAnsi="Times New Roman"/>
        <w:noProof/>
        <w:sz w:val="20"/>
        <w:szCs w:val="20"/>
        <w:lang w:val="ru-RU"/>
      </w:rPr>
      <w:t>2</w:t>
    </w:r>
    <w:r w:rsidRPr="003E30F2">
      <w:rPr>
        <w:rFonts w:ascii="Times New Roman" w:hAnsi="Times New Roman"/>
        <w:sz w:val="20"/>
        <w:szCs w:val="20"/>
      </w:rPr>
      <w:fldChar w:fldCharType="end"/>
    </w:r>
  </w:p>
  <w:p w:rsidR="002D7E57" w:rsidRDefault="002D7E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E57" w:rsidRDefault="002D7E57" w:rsidP="003E30F2">
      <w:pPr>
        <w:spacing w:after="0" w:line="240" w:lineRule="auto"/>
      </w:pPr>
      <w:r>
        <w:separator/>
      </w:r>
    </w:p>
  </w:footnote>
  <w:footnote w:type="continuationSeparator" w:id="0">
    <w:p w:rsidR="002D7E57" w:rsidRDefault="002D7E57" w:rsidP="003E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7B51"/>
    <w:rsid w:val="000041C4"/>
    <w:rsid w:val="000600AA"/>
    <w:rsid w:val="000B52E1"/>
    <w:rsid w:val="001128EE"/>
    <w:rsid w:val="002622EB"/>
    <w:rsid w:val="002D7E57"/>
    <w:rsid w:val="003135B0"/>
    <w:rsid w:val="0032142F"/>
    <w:rsid w:val="00325534"/>
    <w:rsid w:val="00346DD8"/>
    <w:rsid w:val="00393A58"/>
    <w:rsid w:val="003B108C"/>
    <w:rsid w:val="003E30F2"/>
    <w:rsid w:val="004836A9"/>
    <w:rsid w:val="004B70D8"/>
    <w:rsid w:val="00502FE9"/>
    <w:rsid w:val="00503909"/>
    <w:rsid w:val="005F1D89"/>
    <w:rsid w:val="006F39EB"/>
    <w:rsid w:val="00776B30"/>
    <w:rsid w:val="00783570"/>
    <w:rsid w:val="007B00B2"/>
    <w:rsid w:val="008322B1"/>
    <w:rsid w:val="008322D7"/>
    <w:rsid w:val="00877B14"/>
    <w:rsid w:val="008B2887"/>
    <w:rsid w:val="00A2740B"/>
    <w:rsid w:val="00A63E61"/>
    <w:rsid w:val="00B30E69"/>
    <w:rsid w:val="00B70972"/>
    <w:rsid w:val="00B86A43"/>
    <w:rsid w:val="00BF0A79"/>
    <w:rsid w:val="00BF7B51"/>
    <w:rsid w:val="00C00C16"/>
    <w:rsid w:val="00C21C71"/>
    <w:rsid w:val="00C504F6"/>
    <w:rsid w:val="00C84C88"/>
    <w:rsid w:val="00D2123F"/>
    <w:rsid w:val="00DF04B1"/>
    <w:rsid w:val="00E72F21"/>
    <w:rsid w:val="00F172FA"/>
    <w:rsid w:val="00F8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172FA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F7B51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7B51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F7B51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F7B51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F7B51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F7B5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F7B5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F7B5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F7B51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7B51"/>
    <w:rPr>
      <w:rFonts w:ascii="Aptos Display" w:hAnsi="Aptos Display"/>
      <w:color w:val="0F4761"/>
      <w:sz w:val="40"/>
      <w:lang w:val="uk-UA" w:eastAsia="x-non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F7B51"/>
    <w:rPr>
      <w:rFonts w:ascii="Aptos Display" w:hAnsi="Aptos Display"/>
      <w:color w:val="0F4761"/>
      <w:sz w:val="32"/>
      <w:lang w:val="uk-UA" w:eastAsia="x-non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F7B51"/>
    <w:rPr>
      <w:rFonts w:eastAsia="Times New Roman"/>
      <w:color w:val="0F4761"/>
      <w:sz w:val="28"/>
      <w:lang w:val="uk-UA" w:eastAsia="x-non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F7B51"/>
    <w:rPr>
      <w:rFonts w:eastAsia="Times New Roman"/>
      <w:i/>
      <w:color w:val="0F4761"/>
      <w:lang w:val="uk-UA" w:eastAsia="x-none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F7B51"/>
    <w:rPr>
      <w:rFonts w:eastAsia="Times New Roman"/>
      <w:color w:val="0F4761"/>
      <w:lang w:val="uk-UA" w:eastAsia="x-none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F7B51"/>
    <w:rPr>
      <w:rFonts w:eastAsia="Times New Roman"/>
      <w:i/>
      <w:color w:val="595959"/>
      <w:lang w:val="uk-UA" w:eastAsia="x-none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F7B51"/>
    <w:rPr>
      <w:rFonts w:eastAsia="Times New Roman"/>
      <w:color w:val="595959"/>
      <w:lang w:val="uk-UA" w:eastAsia="x-none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F7B51"/>
    <w:rPr>
      <w:rFonts w:eastAsia="Times New Roman"/>
      <w:i/>
      <w:color w:val="272727"/>
      <w:lang w:val="uk-UA" w:eastAsia="x-none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F7B51"/>
    <w:rPr>
      <w:rFonts w:eastAsia="Times New Roman"/>
      <w:color w:val="272727"/>
      <w:lang w:val="uk-UA" w:eastAsia="x-none"/>
    </w:rPr>
  </w:style>
  <w:style w:type="paragraph" w:styleId="Title">
    <w:name w:val="Title"/>
    <w:basedOn w:val="Normal"/>
    <w:next w:val="Normal"/>
    <w:link w:val="TitleChar"/>
    <w:uiPriority w:val="99"/>
    <w:qFormat/>
    <w:rsid w:val="00BF7B51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BF7B51"/>
    <w:rPr>
      <w:rFonts w:ascii="Aptos Display" w:hAnsi="Aptos Display"/>
      <w:spacing w:val="-10"/>
      <w:kern w:val="28"/>
      <w:sz w:val="56"/>
      <w:lang w:val="uk-UA" w:eastAsia="x-none"/>
    </w:rPr>
  </w:style>
  <w:style w:type="paragraph" w:styleId="Subtitle">
    <w:name w:val="Subtitle"/>
    <w:basedOn w:val="Normal"/>
    <w:next w:val="Normal"/>
    <w:link w:val="SubtitleChar"/>
    <w:uiPriority w:val="99"/>
    <w:qFormat/>
    <w:rsid w:val="00BF7B51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F7B51"/>
    <w:rPr>
      <w:rFonts w:eastAsia="Times New Roman"/>
      <w:color w:val="595959"/>
      <w:spacing w:val="15"/>
      <w:sz w:val="28"/>
      <w:lang w:val="uk-UA" w:eastAsia="x-none"/>
    </w:rPr>
  </w:style>
  <w:style w:type="paragraph" w:styleId="Quote">
    <w:name w:val="Quote"/>
    <w:basedOn w:val="Normal"/>
    <w:next w:val="Normal"/>
    <w:link w:val="QuoteChar"/>
    <w:uiPriority w:val="99"/>
    <w:qFormat/>
    <w:rsid w:val="00BF7B51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BF7B51"/>
    <w:rPr>
      <w:i/>
      <w:color w:val="404040"/>
      <w:lang w:val="uk-UA" w:eastAsia="x-none"/>
    </w:rPr>
  </w:style>
  <w:style w:type="paragraph" w:styleId="ListParagraph">
    <w:name w:val="List Paragraph"/>
    <w:basedOn w:val="Normal"/>
    <w:uiPriority w:val="99"/>
    <w:qFormat/>
    <w:rsid w:val="00BF7B51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BF7B51"/>
    <w:rPr>
      <w:i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F7B5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F7B51"/>
    <w:rPr>
      <w:i/>
      <w:color w:val="0F4761"/>
      <w:lang w:val="uk-UA" w:eastAsia="x-none"/>
    </w:rPr>
  </w:style>
  <w:style w:type="character" w:styleId="IntenseReference">
    <w:name w:val="Intense Reference"/>
    <w:basedOn w:val="DefaultParagraphFont"/>
    <w:uiPriority w:val="99"/>
    <w:qFormat/>
    <w:rsid w:val="00BF7B51"/>
    <w:rPr>
      <w:b/>
      <w:smallCaps/>
      <w:color w:val="0F4761"/>
      <w:spacing w:val="5"/>
    </w:rPr>
  </w:style>
  <w:style w:type="character" w:styleId="CommentReference">
    <w:name w:val="annotation reference"/>
    <w:basedOn w:val="DefaultParagraphFont"/>
    <w:uiPriority w:val="99"/>
    <w:semiHidden/>
    <w:rsid w:val="00D2123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21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2123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21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2123F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D2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123F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3E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30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30F2"/>
    <w:rPr>
      <w:rFonts w:cs="Times New Roman"/>
    </w:rPr>
  </w:style>
  <w:style w:type="paragraph" w:styleId="NormalWeb">
    <w:name w:val="Normal (Web)"/>
    <w:basedOn w:val="Normal"/>
    <w:uiPriority w:val="99"/>
    <w:rsid w:val="00393A58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393A58"/>
    <w:rPr>
      <w:rFonts w:cs="Times New Roman"/>
      <w:b/>
    </w:rPr>
  </w:style>
  <w:style w:type="paragraph" w:customStyle="1" w:styleId="pdq2pgselectionanchorcontainer">
    <w:name w:val="pdq2pg_selectionanchorcontainer"/>
    <w:basedOn w:val="Normal"/>
    <w:uiPriority w:val="99"/>
    <w:rsid w:val="00393A58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</TotalTime>
  <Pages>2</Pages>
  <Words>3142</Words>
  <Characters>1792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Ткачова</dc:creator>
  <cp:keywords/>
  <dc:description/>
  <cp:lastModifiedBy>Vezdenko</cp:lastModifiedBy>
  <cp:revision>15</cp:revision>
  <dcterms:created xsi:type="dcterms:W3CDTF">2026-03-01T12:16:00Z</dcterms:created>
  <dcterms:modified xsi:type="dcterms:W3CDTF">2026-07-17T12:44:00Z</dcterms:modified>
</cp:coreProperties>
</file>