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48" w:rsidRPr="00050EB7" w:rsidRDefault="00E42848" w:rsidP="00E42848">
      <w:pPr>
        <w:pStyle w:val="ab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Додаток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1                                                                                   </w:t>
      </w:r>
    </w:p>
    <w:p w:rsidR="00E42848" w:rsidRPr="00050EB7" w:rsidRDefault="00E42848" w:rsidP="00E42848">
      <w:pPr>
        <w:pStyle w:val="ab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реєстраційного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посвідчення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0EB7">
        <w:rPr>
          <w:rFonts w:ascii="Times New Roman" w:hAnsi="Times New Roman" w:cs="Times New Roman"/>
          <w:sz w:val="24"/>
          <w:szCs w:val="24"/>
        </w:rPr>
        <w:t>AA</w:t>
      </w:r>
      <w:r w:rsidRPr="00050EB7">
        <w:rPr>
          <w:rFonts w:ascii="Times New Roman" w:hAnsi="Times New Roman" w:cs="Times New Roman"/>
          <w:sz w:val="24"/>
          <w:szCs w:val="24"/>
          <w:lang w:val="ru-RU"/>
        </w:rPr>
        <w:t>-01085-01-10</w:t>
      </w:r>
    </w:p>
    <w:p w:rsidR="00E42848" w:rsidRPr="00050EB7" w:rsidRDefault="00E42848" w:rsidP="00E42848">
      <w:pPr>
        <w:spacing w:line="240" w:lineRule="atLeast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E42848" w:rsidRPr="00050EB7" w:rsidRDefault="00E42848" w:rsidP="00E42848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Коротка характеристика препарату</w:t>
      </w:r>
    </w:p>
    <w:p w:rsidR="00E42848" w:rsidRPr="00050EB7" w:rsidRDefault="00E42848" w:rsidP="00E42848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1. Назва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Д</w:t>
      </w:r>
      <w:r w:rsidR="004C0663" w:rsidRPr="00050EB7">
        <w:rPr>
          <w:rFonts w:ascii="Times New Roman" w:hAnsi="Times New Roman"/>
          <w:sz w:val="24"/>
          <w:szCs w:val="24"/>
        </w:rPr>
        <w:t>ОКСИПАН</w:t>
      </w:r>
      <w:r w:rsidRPr="00050EB7">
        <w:rPr>
          <w:rFonts w:ascii="Times New Roman" w:hAnsi="Times New Roman"/>
          <w:sz w:val="24"/>
          <w:szCs w:val="24"/>
        </w:rPr>
        <w:t xml:space="preserve"> 54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2. Склад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1 г препарату містить діючу речовину:</w:t>
      </w:r>
    </w:p>
    <w:p w:rsidR="00A30654" w:rsidRPr="00050EB7" w:rsidRDefault="00A30654" w:rsidP="00A30654">
      <w:pPr>
        <w:ind w:firstLine="567"/>
        <w:jc w:val="both"/>
        <w:rPr>
          <w:rFonts w:ascii="Times New Roman" w:hAnsi="Times New Roman"/>
          <w:sz w:val="24"/>
          <w:lang w:eastAsia="uk-UA"/>
        </w:rPr>
      </w:pPr>
      <w:proofErr w:type="spellStart"/>
      <w:r w:rsidRPr="00050EB7">
        <w:rPr>
          <w:rFonts w:ascii="Times New Roman" w:hAnsi="Times New Roman"/>
          <w:sz w:val="24"/>
          <w:lang w:eastAsia="uk-UA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color w:val="000000"/>
          <w:sz w:val="24"/>
          <w:lang w:eastAsia="uk-UA"/>
        </w:rPr>
        <w:t>гіклат</w:t>
      </w:r>
      <w:proofErr w:type="spellEnd"/>
      <w:r w:rsidRPr="00050EB7">
        <w:rPr>
          <w:rFonts w:ascii="Times New Roman" w:hAnsi="Times New Roman"/>
          <w:color w:val="000000"/>
          <w:sz w:val="24"/>
          <w:lang w:eastAsia="uk-UA"/>
        </w:rPr>
        <w:t xml:space="preserve"> - 500 мг.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Допоміжні речовини: кислота лимонна, кремній колоїдний гідратований, глюкози моногідрат.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3. Фармацевтична форма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Порошок для перорального застосування.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4. Фармакологічні властивості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050EB7">
        <w:rPr>
          <w:rFonts w:ascii="Times New Roman" w:hAnsi="Times New Roman"/>
          <w:b/>
          <w:i/>
          <w:sz w:val="24"/>
          <w:szCs w:val="24"/>
        </w:rPr>
        <w:t xml:space="preserve">АТС </w:t>
      </w:r>
      <w:proofErr w:type="spellStart"/>
      <w:r w:rsidRPr="00050EB7">
        <w:rPr>
          <w:rFonts w:ascii="Times New Roman" w:hAnsi="Times New Roman"/>
          <w:b/>
          <w:i/>
          <w:sz w:val="24"/>
          <w:szCs w:val="24"/>
        </w:rPr>
        <w:t>vet</w:t>
      </w:r>
      <w:proofErr w:type="spellEnd"/>
      <w:r w:rsidRPr="00050EB7">
        <w:rPr>
          <w:rFonts w:ascii="Times New Roman" w:hAnsi="Times New Roman"/>
          <w:b/>
          <w:i/>
          <w:sz w:val="24"/>
          <w:szCs w:val="24"/>
        </w:rPr>
        <w:t xml:space="preserve"> класифікаційний код QJ01 – антибактеріальні ветеринарні препарати для системного застосування. QJ01AA02 - </w:t>
      </w:r>
      <w:proofErr w:type="spellStart"/>
      <w:r w:rsidRPr="00050EB7">
        <w:rPr>
          <w:rFonts w:ascii="Times New Roman" w:hAnsi="Times New Roman"/>
          <w:b/>
          <w:i/>
          <w:sz w:val="24"/>
          <w:szCs w:val="24"/>
        </w:rPr>
        <w:t>Доксициклін</w:t>
      </w:r>
      <w:proofErr w:type="spellEnd"/>
      <w:r w:rsidRPr="00050EB7">
        <w:rPr>
          <w:rFonts w:ascii="Times New Roman" w:hAnsi="Times New Roman"/>
          <w:b/>
          <w:i/>
          <w:sz w:val="24"/>
          <w:szCs w:val="24"/>
        </w:rPr>
        <w:t>.</w:t>
      </w:r>
    </w:p>
    <w:p w:rsidR="00D66505" w:rsidRPr="000A24A3" w:rsidRDefault="00D66505" w:rsidP="000A24A3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A24A3">
        <w:rPr>
          <w:rFonts w:ascii="Times New Roman" w:hAnsi="Times New Roman"/>
          <w:sz w:val="24"/>
          <w:szCs w:val="24"/>
        </w:rPr>
        <w:t>Доксициклін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 – бактеріостатичний антибіотик, що належить до групи тетрациклінів. Він блокує прикріплення </w:t>
      </w:r>
      <w:proofErr w:type="spellStart"/>
      <w:r w:rsidRPr="000A24A3">
        <w:rPr>
          <w:rFonts w:ascii="Times New Roman" w:hAnsi="Times New Roman"/>
          <w:sz w:val="24"/>
          <w:szCs w:val="24"/>
        </w:rPr>
        <w:t>аміноацильної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sz w:val="24"/>
          <w:szCs w:val="24"/>
        </w:rPr>
        <w:t>тРНК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 до акцепторного місця, що гальмує приєднання нових амінокислот до ланцюга пептидів і, таким чином, інгібує синтез білка. </w:t>
      </w:r>
      <w:proofErr w:type="spellStart"/>
      <w:r w:rsidRPr="000A24A3">
        <w:rPr>
          <w:rFonts w:ascii="Times New Roman" w:hAnsi="Times New Roman"/>
          <w:sz w:val="24"/>
          <w:szCs w:val="24"/>
        </w:rPr>
        <w:t>Доксициклін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 проявляє бактеріостатичну дію проти </w:t>
      </w:r>
      <w:proofErr w:type="spellStart"/>
      <w:r w:rsidRPr="000A24A3">
        <w:rPr>
          <w:rFonts w:ascii="Times New Roman" w:hAnsi="Times New Roman"/>
          <w:sz w:val="24"/>
          <w:szCs w:val="24"/>
        </w:rPr>
        <w:t>грампозитивних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 (</w:t>
      </w:r>
      <w:r w:rsidRPr="000A24A3">
        <w:rPr>
          <w:rFonts w:ascii="Times New Roman" w:hAnsi="Times New Roman"/>
          <w:i/>
          <w:sz w:val="24"/>
          <w:szCs w:val="24"/>
          <w:lang w:val="en-US"/>
        </w:rPr>
        <w:t>Staphylococcus</w:t>
      </w:r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  <w:lang w:val="en-US"/>
        </w:rPr>
        <w:t>spp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. та </w:t>
      </w:r>
      <w:r w:rsidRPr="000A24A3">
        <w:rPr>
          <w:rFonts w:ascii="Times New Roman" w:hAnsi="Times New Roman"/>
          <w:i/>
          <w:sz w:val="24"/>
          <w:szCs w:val="24"/>
          <w:lang w:val="en-US"/>
        </w:rPr>
        <w:t>Streptococcus</w:t>
      </w:r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  <w:lang w:val="en-US"/>
        </w:rPr>
        <w:t>spp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.) та </w:t>
      </w:r>
      <w:proofErr w:type="spellStart"/>
      <w:r w:rsidRPr="000A24A3">
        <w:rPr>
          <w:rFonts w:ascii="Times New Roman" w:hAnsi="Times New Roman"/>
          <w:sz w:val="24"/>
          <w:szCs w:val="24"/>
        </w:rPr>
        <w:t>грамнегативних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 </w:t>
      </w:r>
      <w:r w:rsidRPr="000A24A3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Actinobacillus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>.,</w:t>
      </w:r>
      <w:r w:rsidRPr="000A2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Bordetella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>.,</w:t>
      </w:r>
      <w:r w:rsidRPr="000A2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Brachispira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>.,</w:t>
      </w:r>
      <w:r w:rsidRPr="000A2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Brucella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>.,</w:t>
      </w:r>
      <w:r w:rsidRPr="000A24A3">
        <w:rPr>
          <w:rFonts w:ascii="Times New Roman" w:hAnsi="Times New Roman"/>
          <w:sz w:val="24"/>
          <w:szCs w:val="24"/>
        </w:rPr>
        <w:t xml:space="preserve"> </w:t>
      </w:r>
      <w:r w:rsidRPr="000A24A3">
        <w:rPr>
          <w:rFonts w:ascii="Times New Roman" w:hAnsi="Times New Roman"/>
          <w:i/>
          <w:sz w:val="24"/>
          <w:szCs w:val="24"/>
        </w:rPr>
        <w:t xml:space="preserve">E.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coli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Haemophilus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>.,</w:t>
      </w:r>
      <w:r w:rsidRPr="000A2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Leptospira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>.,</w:t>
      </w:r>
      <w:r w:rsidRPr="000A2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Ornithobacterium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.,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Pasteurella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multocida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Salmonella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>.</w:t>
      </w:r>
      <w:r w:rsidRPr="000A24A3">
        <w:rPr>
          <w:rFonts w:ascii="Times New Roman" w:hAnsi="Times New Roman"/>
          <w:sz w:val="24"/>
          <w:szCs w:val="24"/>
        </w:rPr>
        <w:t>)</w:t>
      </w:r>
      <w:r w:rsidRPr="000A24A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24A3">
        <w:rPr>
          <w:rFonts w:ascii="Times New Roman" w:hAnsi="Times New Roman"/>
          <w:sz w:val="24"/>
          <w:szCs w:val="24"/>
        </w:rPr>
        <w:t>бактерій,</w:t>
      </w:r>
      <w:r w:rsidRPr="000A24A3">
        <w:rPr>
          <w:rFonts w:ascii="Times New Roman" w:hAnsi="Times New Roman"/>
          <w:i/>
          <w:sz w:val="24"/>
          <w:szCs w:val="24"/>
        </w:rPr>
        <w:t xml:space="preserve">  </w:t>
      </w:r>
      <w:r w:rsidRPr="000A24A3">
        <w:rPr>
          <w:rFonts w:ascii="Times New Roman" w:hAnsi="Times New Roman"/>
          <w:sz w:val="24"/>
          <w:szCs w:val="24"/>
        </w:rPr>
        <w:t>а</w:t>
      </w:r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r w:rsidRPr="000A24A3">
        <w:rPr>
          <w:rFonts w:ascii="Times New Roman" w:hAnsi="Times New Roman"/>
          <w:sz w:val="24"/>
          <w:szCs w:val="24"/>
        </w:rPr>
        <w:t>також мікоплазм (</w:t>
      </w:r>
      <w:r w:rsidRPr="000A24A3">
        <w:rPr>
          <w:rFonts w:ascii="Times New Roman" w:hAnsi="Times New Roman"/>
          <w:i/>
          <w:sz w:val="24"/>
          <w:szCs w:val="24"/>
          <w:lang w:val="en-US"/>
        </w:rPr>
        <w:t>Mycoplasma</w:t>
      </w:r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  <w:lang w:val="en-US"/>
        </w:rPr>
        <w:t>spp</w:t>
      </w:r>
      <w:proofErr w:type="spellEnd"/>
      <w:r w:rsidRPr="000A24A3">
        <w:rPr>
          <w:rFonts w:ascii="Times New Roman" w:hAnsi="Times New Roman"/>
          <w:sz w:val="24"/>
          <w:szCs w:val="24"/>
        </w:rPr>
        <w:t>.)</w:t>
      </w:r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r w:rsidRPr="000A24A3">
        <w:rPr>
          <w:rFonts w:ascii="Times New Roman" w:hAnsi="Times New Roman"/>
          <w:sz w:val="24"/>
          <w:szCs w:val="24"/>
        </w:rPr>
        <w:t xml:space="preserve">мікроорганізмів, рикетсій </w:t>
      </w:r>
      <w:r w:rsidRPr="000A24A3">
        <w:rPr>
          <w:rFonts w:ascii="Times New Roman" w:hAnsi="Times New Roman"/>
          <w:i/>
          <w:sz w:val="24"/>
          <w:szCs w:val="24"/>
        </w:rPr>
        <w:t>(</w:t>
      </w:r>
      <w:r w:rsidRPr="000A24A3">
        <w:rPr>
          <w:rFonts w:ascii="Times New Roman" w:hAnsi="Times New Roman"/>
          <w:i/>
          <w:sz w:val="24"/>
          <w:szCs w:val="24"/>
          <w:lang w:val="en-US"/>
        </w:rPr>
        <w:t>Rickettsia</w:t>
      </w:r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  <w:lang w:val="en-US"/>
        </w:rPr>
        <w:t>spp</w:t>
      </w:r>
      <w:proofErr w:type="spellEnd"/>
      <w:r w:rsidRPr="000A24A3">
        <w:rPr>
          <w:rFonts w:ascii="Times New Roman" w:hAnsi="Times New Roman"/>
          <w:i/>
          <w:sz w:val="24"/>
          <w:szCs w:val="24"/>
        </w:rPr>
        <w:t xml:space="preserve">.) </w:t>
      </w:r>
      <w:r w:rsidRPr="000A24A3">
        <w:rPr>
          <w:rFonts w:ascii="Times New Roman" w:hAnsi="Times New Roman"/>
          <w:sz w:val="24"/>
          <w:szCs w:val="24"/>
        </w:rPr>
        <w:t xml:space="preserve">та </w:t>
      </w:r>
      <w:proofErr w:type="spellStart"/>
      <w:r w:rsidRPr="000A24A3">
        <w:rPr>
          <w:rFonts w:ascii="Times New Roman" w:hAnsi="Times New Roman"/>
          <w:sz w:val="24"/>
          <w:szCs w:val="24"/>
        </w:rPr>
        <w:t>хламідій</w:t>
      </w:r>
      <w:proofErr w:type="spellEnd"/>
      <w:r w:rsidRPr="000A24A3">
        <w:rPr>
          <w:rFonts w:ascii="Times New Roman" w:hAnsi="Times New Roman"/>
          <w:sz w:val="24"/>
          <w:szCs w:val="24"/>
        </w:rPr>
        <w:t xml:space="preserve"> (</w:t>
      </w:r>
      <w:r w:rsidRPr="000A24A3">
        <w:rPr>
          <w:rFonts w:ascii="Times New Roman" w:hAnsi="Times New Roman"/>
          <w:i/>
          <w:sz w:val="24"/>
          <w:szCs w:val="24"/>
          <w:lang w:val="en-US"/>
        </w:rPr>
        <w:t>Chlamydia</w:t>
      </w:r>
      <w:r w:rsidRPr="000A24A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24A3">
        <w:rPr>
          <w:rFonts w:ascii="Times New Roman" w:hAnsi="Times New Roman"/>
          <w:i/>
          <w:sz w:val="24"/>
          <w:szCs w:val="24"/>
          <w:lang w:val="en-US"/>
        </w:rPr>
        <w:t>spp</w:t>
      </w:r>
      <w:proofErr w:type="spellEnd"/>
      <w:r w:rsidRPr="000A24A3">
        <w:rPr>
          <w:rFonts w:ascii="Times New Roman" w:hAnsi="Times New Roman"/>
          <w:sz w:val="24"/>
          <w:szCs w:val="24"/>
        </w:rPr>
        <w:t>.).</w:t>
      </w: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sz w:val="24"/>
          <w:szCs w:val="24"/>
        </w:rPr>
        <w:t xml:space="preserve">Після перорального застосування тваринам </w:t>
      </w:r>
      <w:proofErr w:type="spellStart"/>
      <w:r w:rsidRPr="00050EB7">
        <w:rPr>
          <w:rFonts w:ascii="Times New Roman" w:hAnsi="Times New Roman"/>
          <w:sz w:val="24"/>
          <w:szCs w:val="24"/>
        </w:rPr>
        <w:t>доксициклін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 всмоктується із травного каналу на 93-100% та швидко розподіляється по організму.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має добре проникнення та розподіл в тканинах організму. Після всмоктування тетрацикліни не піддаються метаболізму. На відміну від інших тетрациклінів,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виводиться переважно з фекаліями.</w:t>
      </w: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sz w:val="24"/>
          <w:szCs w:val="24"/>
          <w:lang w:eastAsia="uk-UA"/>
        </w:rPr>
        <w:t xml:space="preserve">Після перорального застосування свиням з питною водою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в плазмі крові не накопичується. Після застосуванні у дозі 10 мг/кг  маси тіла протягом 3 діб середня концентрація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в плазмі становить 0,44±0,12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мкг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/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мл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.</w:t>
      </w: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  <w:lang w:eastAsia="uk-UA"/>
        </w:rPr>
        <w:t xml:space="preserve">Після перорального застосування курчатам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в дозі 25 мг/кг маси тіла протягом 5 діб його концентрація в плазмі 2,05±0,47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мкг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/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мл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досягається через 6 годин і варіює від 1,28 до 2,18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мкг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/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мл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5.Клінічні особливості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5.1 Вид тварин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Свійська птиця (курчата, кури-бройлери), свині.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5.2 Показання до застосування</w:t>
      </w: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sz w:val="24"/>
          <w:szCs w:val="24"/>
          <w:lang w:eastAsia="uk-UA"/>
        </w:rPr>
        <w:t xml:space="preserve">Свині: лікування тварин, хворих на атрофічний риніт (спричинений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Pasteurella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multocida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та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Bordetella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bronchiseptica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)</w:t>
      </w:r>
      <w:r w:rsidRPr="00050EB7">
        <w:rPr>
          <w:rFonts w:ascii="Times New Roman" w:hAnsi="Times New Roman"/>
          <w:i/>
          <w:sz w:val="24"/>
          <w:szCs w:val="24"/>
          <w:lang w:eastAsia="uk-UA"/>
        </w:rPr>
        <w:t>,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 бронхопневмонію (спричинену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Pasteurella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multocida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,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Streptococcus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suis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r w:rsidRPr="00050EB7">
        <w:rPr>
          <w:rFonts w:ascii="Times New Roman" w:hAnsi="Times New Roman"/>
          <w:sz w:val="24"/>
          <w:szCs w:val="24"/>
          <w:lang w:eastAsia="uk-UA"/>
        </w:rPr>
        <w:t>та</w:t>
      </w:r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Mycoplasma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hyorhinis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)</w:t>
      </w:r>
      <w:r w:rsidRPr="00050EB7">
        <w:rPr>
          <w:rFonts w:ascii="Times New Roman" w:hAnsi="Times New Roman"/>
          <w:i/>
          <w:sz w:val="24"/>
          <w:szCs w:val="24"/>
          <w:lang w:eastAsia="uk-UA"/>
        </w:rPr>
        <w:t>,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 плевропневмонію (спричинена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Actinobacillus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pleuropneumoniae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), </w:t>
      </w:r>
      <w:r w:rsidRPr="00050EB7">
        <w:rPr>
          <w:rFonts w:ascii="Times New Roman" w:hAnsi="Times New Roman"/>
          <w:sz w:val="24"/>
          <w:szCs w:val="24"/>
          <w:lang w:eastAsia="uk-UA"/>
        </w:rPr>
        <w:t>а також</w:t>
      </w:r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="004F5326" w:rsidRPr="00050EB7">
        <w:rPr>
          <w:rFonts w:ascii="Times New Roman" w:hAnsi="Times New Roman"/>
          <w:sz w:val="24"/>
          <w:szCs w:val="24"/>
          <w:lang w:eastAsia="uk-UA"/>
        </w:rPr>
        <w:t>за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 захворюван</w:t>
      </w:r>
      <w:r w:rsidR="004F5326" w:rsidRPr="00050EB7">
        <w:rPr>
          <w:rFonts w:ascii="Times New Roman" w:hAnsi="Times New Roman"/>
          <w:sz w:val="24"/>
          <w:szCs w:val="24"/>
          <w:lang w:eastAsia="uk-UA"/>
        </w:rPr>
        <w:t>ь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 органів дихання та травного каналу, що спричинені мікроорганізмами, чутливими до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.</w:t>
      </w: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color w:val="000000"/>
          <w:sz w:val="24"/>
          <w:szCs w:val="24"/>
          <w:lang w:eastAsia="uk-UA"/>
        </w:rPr>
        <w:t>Свійська птиця (курчата, кури-бройлери)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: лікування птиці, хворою на ентерит (спричинений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Clostridium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perfringens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r w:rsidRPr="00050EB7">
        <w:rPr>
          <w:rFonts w:ascii="Times New Roman" w:hAnsi="Times New Roman"/>
          <w:sz w:val="24"/>
          <w:szCs w:val="24"/>
          <w:lang w:eastAsia="uk-UA"/>
        </w:rPr>
        <w:t>і</w:t>
      </w:r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Clostridium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colinum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)</w:t>
      </w:r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, </w:t>
      </w:r>
      <w:r w:rsidRPr="00050EB7">
        <w:rPr>
          <w:rFonts w:ascii="Times New Roman" w:hAnsi="Times New Roman"/>
          <w:sz w:val="24"/>
          <w:szCs w:val="24"/>
          <w:lang w:eastAsia="uk-UA"/>
        </w:rPr>
        <w:t>а тако</w:t>
      </w:r>
      <w:r w:rsidR="004F5326" w:rsidRPr="00050EB7">
        <w:rPr>
          <w:rFonts w:ascii="Times New Roman" w:hAnsi="Times New Roman"/>
          <w:sz w:val="24"/>
          <w:szCs w:val="24"/>
          <w:lang w:eastAsia="uk-UA"/>
        </w:rPr>
        <w:t>ж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="004F5326" w:rsidRPr="00050EB7">
        <w:rPr>
          <w:rFonts w:ascii="Times New Roman" w:hAnsi="Times New Roman"/>
          <w:sz w:val="24"/>
          <w:szCs w:val="24"/>
          <w:lang w:eastAsia="uk-UA"/>
        </w:rPr>
        <w:t>за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 захворюван</w:t>
      </w:r>
      <w:r w:rsidR="004F5326" w:rsidRPr="00050EB7">
        <w:rPr>
          <w:rFonts w:ascii="Times New Roman" w:hAnsi="Times New Roman"/>
          <w:sz w:val="24"/>
          <w:szCs w:val="24"/>
          <w:lang w:eastAsia="uk-UA"/>
        </w:rPr>
        <w:t>ь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 органів дихання, спричинені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Mycoplasma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spp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.,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Escherichia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coli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,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Haemophilus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paragallinarum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r w:rsidRPr="00286A74">
        <w:rPr>
          <w:rFonts w:ascii="Times New Roman" w:hAnsi="Times New Roman"/>
          <w:sz w:val="24"/>
          <w:szCs w:val="24"/>
          <w:lang w:eastAsia="uk-UA"/>
        </w:rPr>
        <w:t>і</w:t>
      </w:r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Bordetella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i/>
          <w:sz w:val="24"/>
          <w:szCs w:val="24"/>
          <w:lang w:eastAsia="uk-UA"/>
        </w:rPr>
        <w:t>avium</w:t>
      </w:r>
      <w:proofErr w:type="spellEnd"/>
      <w:r w:rsidRPr="00050EB7">
        <w:rPr>
          <w:rFonts w:ascii="Times New Roman" w:hAnsi="Times New Roman"/>
          <w:i/>
          <w:sz w:val="24"/>
          <w:szCs w:val="24"/>
          <w:lang w:eastAsia="uk-UA"/>
        </w:rPr>
        <w:t xml:space="preserve">, </w:t>
      </w:r>
      <w:r w:rsidRPr="00050EB7">
        <w:rPr>
          <w:rFonts w:ascii="Times New Roman" w:hAnsi="Times New Roman"/>
          <w:sz w:val="24"/>
          <w:szCs w:val="24"/>
          <w:lang w:eastAsia="uk-UA"/>
        </w:rPr>
        <w:t xml:space="preserve">чутливими до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>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5.3 Протипоказання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Підвищена індивідуальна чутливість до </w:t>
      </w:r>
      <w:proofErr w:type="spellStart"/>
      <w:r w:rsidRPr="00050EB7">
        <w:rPr>
          <w:rFonts w:ascii="Times New Roman" w:hAnsi="Times New Roman"/>
          <w:sz w:val="24"/>
          <w:szCs w:val="24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</w:rPr>
        <w:t>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Не застосовувати курям–несучкам, яйця яких використовують для споживання людям.</w:t>
      </w:r>
    </w:p>
    <w:p w:rsidR="00D66505" w:rsidRPr="00050EB7" w:rsidRDefault="00D66505" w:rsidP="00D66505">
      <w:pPr>
        <w:spacing w:after="0" w:line="240" w:lineRule="auto"/>
        <w:ind w:firstLine="567"/>
        <w:rPr>
          <w:rFonts w:ascii="Times New Roman" w:hAnsi="Times New Roman"/>
          <w:snapToGrid w:val="0"/>
          <w:sz w:val="24"/>
          <w:szCs w:val="24"/>
        </w:rPr>
      </w:pPr>
      <w:r w:rsidRPr="00050EB7">
        <w:rPr>
          <w:rFonts w:ascii="Times New Roman" w:hAnsi="Times New Roman"/>
          <w:color w:val="000000"/>
          <w:sz w:val="24"/>
          <w:szCs w:val="24"/>
          <w:lang w:eastAsia="uk-UA"/>
        </w:rPr>
        <w:t>Не застосовувати тваринам із захворюваннями нирок та печінки.</w:t>
      </w:r>
    </w:p>
    <w:p w:rsidR="001E271E" w:rsidRPr="00050EB7" w:rsidRDefault="001E271E" w:rsidP="001E271E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Не застосовувати одночасно з бактерицидними антибіотиками, такими як </w:t>
      </w:r>
      <w:proofErr w:type="spellStart"/>
      <w:r w:rsidRPr="00050EB7">
        <w:rPr>
          <w:rFonts w:ascii="Times New Roman" w:hAnsi="Times New Roman"/>
          <w:sz w:val="24"/>
          <w:szCs w:val="24"/>
        </w:rPr>
        <w:t>пеніциліни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050EB7">
        <w:rPr>
          <w:rFonts w:ascii="Times New Roman" w:hAnsi="Times New Roman"/>
          <w:sz w:val="24"/>
          <w:szCs w:val="24"/>
        </w:rPr>
        <w:t>цефалоспорини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. Не застосовувати разом з </w:t>
      </w:r>
      <w:proofErr w:type="spellStart"/>
      <w:r w:rsidRPr="00050EB7">
        <w:rPr>
          <w:rFonts w:ascii="Times New Roman" w:hAnsi="Times New Roman"/>
          <w:sz w:val="24"/>
          <w:szCs w:val="24"/>
        </w:rPr>
        <w:t>антацидами</w:t>
      </w:r>
      <w:proofErr w:type="spellEnd"/>
      <w:r w:rsidRPr="00050EB7">
        <w:rPr>
          <w:rFonts w:ascii="Times New Roman" w:hAnsi="Times New Roman"/>
          <w:sz w:val="24"/>
          <w:szCs w:val="24"/>
        </w:rPr>
        <w:t>, каоліном та речовинами, що містять залізо, цинк, магній, кальцій і алюміній.</w:t>
      </w:r>
    </w:p>
    <w:p w:rsidR="00D66505" w:rsidRPr="00050EB7" w:rsidRDefault="00D66505" w:rsidP="00D66505">
      <w:pPr>
        <w:pStyle w:val="ab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Продовження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додатку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1                                                                                   </w:t>
      </w:r>
    </w:p>
    <w:p w:rsidR="00D66505" w:rsidRPr="00050EB7" w:rsidRDefault="00D66505" w:rsidP="00D66505">
      <w:pPr>
        <w:pStyle w:val="ab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реєстраційного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посвідчення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0EB7">
        <w:rPr>
          <w:rFonts w:ascii="Times New Roman" w:hAnsi="Times New Roman" w:cs="Times New Roman"/>
          <w:sz w:val="24"/>
          <w:szCs w:val="24"/>
        </w:rPr>
        <w:t>AA</w:t>
      </w:r>
      <w:r w:rsidRPr="00050EB7">
        <w:rPr>
          <w:rFonts w:ascii="Times New Roman" w:hAnsi="Times New Roman" w:cs="Times New Roman"/>
          <w:sz w:val="24"/>
          <w:szCs w:val="24"/>
          <w:lang w:val="ru-RU"/>
        </w:rPr>
        <w:t>-01085-01-10</w:t>
      </w:r>
    </w:p>
    <w:p w:rsidR="00F12D3B" w:rsidRDefault="00F12D3B" w:rsidP="00D66505">
      <w:pPr>
        <w:pStyle w:val="af1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5.4 Побічна дія</w:t>
      </w: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sz w:val="24"/>
          <w:szCs w:val="24"/>
        </w:rPr>
        <w:t xml:space="preserve">За застосування препарату згідно інструкцій зазначених у  КХП та ЛВ побічної дії не спостерігали. </w:t>
      </w:r>
      <w:r w:rsidRPr="00050EB7">
        <w:rPr>
          <w:rFonts w:ascii="Times New Roman" w:hAnsi="Times New Roman"/>
          <w:sz w:val="24"/>
          <w:szCs w:val="24"/>
          <w:lang w:eastAsia="uk-UA"/>
        </w:rPr>
        <w:t>У тварин можливе виникнення дисбактеріозу та розладів травлення.</w:t>
      </w: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sz w:val="24"/>
          <w:szCs w:val="24"/>
          <w:lang w:eastAsia="uk-UA"/>
        </w:rPr>
        <w:t xml:space="preserve">Препарат може викликати алергічні реакції у тварин із підвищеною чутливістю. У такому випадку застосування препарату припиняють, призначають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епінефрин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та кортикостероїди.</w:t>
      </w:r>
    </w:p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У молодих тварин препарат може викликати зміну кольору кісток та зубів на жовтий, коричневий або сірий. Великі дози та тривале застосування може затримати ріст кісток.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5.5 Особливі застереження при використанні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Застосування препарату повинно ґрунтуватись на результатах тесту на чутливість мікроорганізмів-збудників захворювання до </w:t>
      </w:r>
      <w:proofErr w:type="spellStart"/>
      <w:r w:rsidRPr="00050EB7">
        <w:rPr>
          <w:rFonts w:ascii="Times New Roman" w:hAnsi="Times New Roman"/>
          <w:sz w:val="24"/>
          <w:szCs w:val="24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. Якщо це неможливо, то в основу терапії необхідно взяти місцеву (фермерську) епізоотичну інформацію про чутливість цільової бактерії до антибіотиків. Застосування препарату не відповідно до інструкцій, наведених у КХП, може збільшити поширеність бактерій, стійких до </w:t>
      </w:r>
      <w:proofErr w:type="spellStart"/>
      <w:r w:rsidRPr="00050EB7">
        <w:rPr>
          <w:rFonts w:ascii="Times New Roman" w:hAnsi="Times New Roman"/>
          <w:sz w:val="24"/>
          <w:szCs w:val="24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</w:rPr>
        <w:t>, і знизити ефективність терапії іншими тетрациклінами через можливу перехресну резистентність.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5.6 Застосування під час вагітності, лактації, несучості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Не застосовувати курям–несучкам, яйця яких використовують для споживання людям.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50EB7">
        <w:rPr>
          <w:rFonts w:ascii="Times New Roman" w:hAnsi="Times New Roman"/>
          <w:sz w:val="24"/>
          <w:szCs w:val="24"/>
        </w:rPr>
        <w:t>Застосування під час вагітності та в період лактації дозволяють лише після проведення оцінки ризик/користь лікарем ветеринарної медицини.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  <w:lang w:val="ru-RU"/>
        </w:rPr>
        <w:t xml:space="preserve">5.7 </w:t>
      </w:r>
      <w:r w:rsidRPr="00050EB7">
        <w:rPr>
          <w:rFonts w:ascii="Times New Roman" w:hAnsi="Times New Roman"/>
          <w:b/>
          <w:sz w:val="24"/>
          <w:szCs w:val="24"/>
        </w:rPr>
        <w:t>Взаємодія з іншими засобами та інші форми взаємодії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При застосуванні одночасно з препаратами, що містять у своєму складі </w:t>
      </w:r>
      <w:proofErr w:type="spellStart"/>
      <w:r w:rsidRPr="00050EB7">
        <w:rPr>
          <w:rFonts w:ascii="Times New Roman" w:hAnsi="Times New Roman"/>
          <w:sz w:val="24"/>
          <w:szCs w:val="24"/>
        </w:rPr>
        <w:t>дво-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 та тривалентні катіони, такі як Mg</w:t>
      </w:r>
      <w:r w:rsidRPr="00050EB7">
        <w:rPr>
          <w:rFonts w:ascii="Times New Roman" w:hAnsi="Times New Roman"/>
          <w:sz w:val="24"/>
          <w:szCs w:val="24"/>
          <w:vertAlign w:val="superscript"/>
        </w:rPr>
        <w:t>2+</w:t>
      </w:r>
      <w:r w:rsidRPr="00050EB7">
        <w:rPr>
          <w:rFonts w:ascii="Times New Roman" w:hAnsi="Times New Roman"/>
          <w:sz w:val="24"/>
          <w:szCs w:val="24"/>
        </w:rPr>
        <w:t>, Al</w:t>
      </w:r>
      <w:r w:rsidRPr="00050EB7">
        <w:rPr>
          <w:rFonts w:ascii="Times New Roman" w:hAnsi="Times New Roman"/>
          <w:sz w:val="24"/>
          <w:szCs w:val="24"/>
          <w:vertAlign w:val="superscript"/>
        </w:rPr>
        <w:t>3+</w:t>
      </w:r>
      <w:r w:rsidRPr="00050EB7">
        <w:rPr>
          <w:rFonts w:ascii="Times New Roman" w:hAnsi="Times New Roman"/>
          <w:sz w:val="24"/>
          <w:szCs w:val="24"/>
        </w:rPr>
        <w:t>, Ca</w:t>
      </w:r>
      <w:r w:rsidRPr="00050EB7">
        <w:rPr>
          <w:rFonts w:ascii="Times New Roman" w:hAnsi="Times New Roman"/>
          <w:sz w:val="24"/>
          <w:szCs w:val="24"/>
          <w:vertAlign w:val="superscript"/>
        </w:rPr>
        <w:t>2+</w:t>
      </w:r>
      <w:r w:rsidRPr="00050EB7">
        <w:rPr>
          <w:rFonts w:ascii="Times New Roman" w:hAnsi="Times New Roman"/>
          <w:sz w:val="24"/>
          <w:szCs w:val="24"/>
        </w:rPr>
        <w:t>, Zn</w:t>
      </w:r>
      <w:r w:rsidRPr="00050EB7">
        <w:rPr>
          <w:rFonts w:ascii="Times New Roman" w:hAnsi="Times New Roman"/>
          <w:sz w:val="24"/>
          <w:szCs w:val="24"/>
          <w:vertAlign w:val="superscript"/>
        </w:rPr>
        <w:t>2+</w:t>
      </w:r>
      <w:r w:rsidRPr="00050EB7">
        <w:rPr>
          <w:rFonts w:ascii="Times New Roman" w:hAnsi="Times New Roman"/>
          <w:sz w:val="24"/>
          <w:szCs w:val="24"/>
        </w:rPr>
        <w:t>, Bi</w:t>
      </w:r>
      <w:r w:rsidRPr="00050EB7">
        <w:rPr>
          <w:rFonts w:ascii="Times New Roman" w:hAnsi="Times New Roman"/>
          <w:sz w:val="24"/>
          <w:szCs w:val="24"/>
          <w:vertAlign w:val="superscript"/>
        </w:rPr>
        <w:t>2+</w:t>
      </w:r>
      <w:r w:rsidRPr="00050EB7">
        <w:rPr>
          <w:rFonts w:ascii="Times New Roman" w:hAnsi="Times New Roman"/>
          <w:sz w:val="24"/>
          <w:szCs w:val="24"/>
        </w:rPr>
        <w:t>, Fe</w:t>
      </w:r>
      <w:r w:rsidRPr="00050EB7">
        <w:rPr>
          <w:rFonts w:ascii="Times New Roman" w:hAnsi="Times New Roman"/>
          <w:sz w:val="24"/>
          <w:szCs w:val="24"/>
          <w:vertAlign w:val="superscript"/>
        </w:rPr>
        <w:t>3+</w:t>
      </w:r>
      <w:r w:rsidRPr="00050EB7">
        <w:rPr>
          <w:rFonts w:ascii="Times New Roman" w:hAnsi="Times New Roman"/>
          <w:sz w:val="24"/>
          <w:szCs w:val="24"/>
        </w:rPr>
        <w:t xml:space="preserve">, останні можуть зв’язуватись з </w:t>
      </w:r>
      <w:proofErr w:type="spellStart"/>
      <w:r w:rsidRPr="00050EB7">
        <w:rPr>
          <w:rFonts w:ascii="Times New Roman" w:hAnsi="Times New Roman"/>
          <w:sz w:val="24"/>
          <w:szCs w:val="24"/>
        </w:rPr>
        <w:t>доксицикліном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 та перешкоджати його абсорбції.  Не застосовувати одночасно з </w:t>
      </w:r>
      <w:proofErr w:type="spellStart"/>
      <w:r w:rsidRPr="00050EB7">
        <w:rPr>
          <w:rFonts w:ascii="Times New Roman" w:hAnsi="Times New Roman"/>
          <w:sz w:val="24"/>
          <w:szCs w:val="24"/>
        </w:rPr>
        <w:t>антацидами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, каоліном та препаратами заліза.  Небажаний одночасне застосування з </w:t>
      </w:r>
      <w:proofErr w:type="spellStart"/>
      <w:r w:rsidRPr="00050EB7">
        <w:rPr>
          <w:rFonts w:ascii="Times New Roman" w:hAnsi="Times New Roman"/>
          <w:sz w:val="24"/>
          <w:szCs w:val="24"/>
        </w:rPr>
        <w:t>пеніцилінами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0EB7">
        <w:rPr>
          <w:rFonts w:ascii="Times New Roman" w:hAnsi="Times New Roman"/>
          <w:sz w:val="24"/>
          <w:szCs w:val="24"/>
        </w:rPr>
        <w:t>цефалоспоринами</w:t>
      </w:r>
      <w:proofErr w:type="spellEnd"/>
      <w:r w:rsidRPr="00050EB7">
        <w:rPr>
          <w:rFonts w:ascii="Times New Roman" w:hAnsi="Times New Roman"/>
          <w:sz w:val="24"/>
          <w:szCs w:val="24"/>
        </w:rPr>
        <w:t>, які діють бактерицидно і є антагоністами бактеріостатичних антибіотиків.</w:t>
      </w:r>
    </w:p>
    <w:p w:rsidR="00D66505" w:rsidRPr="00050EB7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0EB7">
        <w:rPr>
          <w:rFonts w:ascii="Times New Roman" w:hAnsi="Times New Roman"/>
          <w:sz w:val="24"/>
          <w:szCs w:val="24"/>
        </w:rPr>
        <w:t>Доксициклін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 підвищує активність антикоагулянтів.</w:t>
      </w:r>
    </w:p>
    <w:p w:rsidR="00D66505" w:rsidRPr="00050EB7" w:rsidRDefault="00D66505" w:rsidP="00D66505">
      <w:pPr>
        <w:spacing w:line="240" w:lineRule="atLeast"/>
        <w:ind w:firstLineChars="235" w:firstLine="56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5.8 Дози і способи введення тваринам різного віку</w:t>
      </w:r>
    </w:p>
    <w:p w:rsidR="00D66505" w:rsidRPr="00050EB7" w:rsidRDefault="00D66505" w:rsidP="00D66505">
      <w:pPr>
        <w:pStyle w:val="af1"/>
        <w:ind w:firstLineChars="235" w:firstLine="564"/>
        <w:rPr>
          <w:rFonts w:ascii="Times New Roman" w:hAnsi="Times New Roman"/>
          <w:sz w:val="24"/>
          <w:szCs w:val="24"/>
          <w:lang w:eastAsia="uk-UA"/>
        </w:rPr>
      </w:pP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Перорально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з питною водою в дозах:</w:t>
      </w:r>
    </w:p>
    <w:p w:rsidR="00D66505" w:rsidRPr="00050EB7" w:rsidRDefault="00D66505" w:rsidP="00D66505">
      <w:pPr>
        <w:pStyle w:val="af1"/>
        <w:ind w:firstLineChars="235" w:firstLine="564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sz w:val="24"/>
          <w:szCs w:val="24"/>
          <w:lang w:eastAsia="uk-UA"/>
        </w:rPr>
        <w:t xml:space="preserve">свині - 10 мг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гіклату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(що відповідає 20 мг препарату на  1 кг маси тіла) на 1 кг маси тіла щодобово протягом 3-5 діб;</w:t>
      </w:r>
    </w:p>
    <w:p w:rsidR="00D66505" w:rsidRPr="00050EB7" w:rsidRDefault="00D66505" w:rsidP="00D66505">
      <w:pPr>
        <w:pStyle w:val="af1"/>
        <w:ind w:firstLineChars="235" w:firstLine="564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sz w:val="24"/>
          <w:szCs w:val="24"/>
          <w:lang w:eastAsia="uk-UA"/>
        </w:rPr>
        <w:t xml:space="preserve">свійська птиця (курчата, кури-бройлери) - 25 мг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050EB7">
        <w:rPr>
          <w:rFonts w:ascii="Times New Roman" w:hAnsi="Times New Roman"/>
          <w:sz w:val="24"/>
          <w:szCs w:val="24"/>
          <w:lang w:eastAsia="uk-UA"/>
        </w:rPr>
        <w:t>гіклату</w:t>
      </w:r>
      <w:proofErr w:type="spellEnd"/>
      <w:r w:rsidRPr="00050EB7">
        <w:rPr>
          <w:rFonts w:ascii="Times New Roman" w:hAnsi="Times New Roman"/>
          <w:sz w:val="24"/>
          <w:szCs w:val="24"/>
          <w:lang w:eastAsia="uk-UA"/>
        </w:rPr>
        <w:t xml:space="preserve"> на 1 кг маси тіла (що відповідає 50 мг препарату на  1 кг маси тіла) на добу протягом 3-5 діб.</w:t>
      </w:r>
    </w:p>
    <w:p w:rsidR="00D66505" w:rsidRPr="00050EB7" w:rsidRDefault="00D66505" w:rsidP="00D66505">
      <w:pPr>
        <w:pStyle w:val="af1"/>
        <w:ind w:firstLineChars="235" w:firstLine="564"/>
        <w:rPr>
          <w:rFonts w:ascii="Times New Roman" w:hAnsi="Times New Roman"/>
          <w:sz w:val="24"/>
          <w:szCs w:val="24"/>
          <w:lang w:eastAsia="uk-UA"/>
        </w:rPr>
      </w:pPr>
      <w:r w:rsidRPr="00050EB7">
        <w:rPr>
          <w:rFonts w:ascii="Times New Roman" w:hAnsi="Times New Roman"/>
          <w:sz w:val="24"/>
          <w:szCs w:val="24"/>
          <w:lang w:eastAsia="uk-UA"/>
        </w:rPr>
        <w:t>За застосування з питною водою точну добову кількість препарату розраховують на основі рекомендованої дози, кількості та маси тіла тварин за формулою: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81"/>
        <w:gridCol w:w="3437"/>
      </w:tblGrid>
      <w:tr w:rsidR="00D66505" w:rsidRPr="00050EB7" w:rsidTr="00112FFB">
        <w:trPr>
          <w:trHeight w:val="517"/>
        </w:trPr>
        <w:tc>
          <w:tcPr>
            <w:tcW w:w="6881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:rsidR="00D66505" w:rsidRPr="00050EB7" w:rsidRDefault="00D66505" w:rsidP="00112FFB">
            <w:pPr>
              <w:pStyle w:val="af1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050EB7">
              <w:rPr>
                <w:rFonts w:ascii="Times New Roman" w:hAnsi="Times New Roman"/>
                <w:sz w:val="20"/>
                <w:szCs w:val="20"/>
                <w:lang w:eastAsia="uk-UA"/>
              </w:rPr>
              <w:t>мг препарату/кг маси тіла/добу х Середня маса тіла тварини (кг)</w:t>
            </w:r>
          </w:p>
        </w:tc>
        <w:tc>
          <w:tcPr>
            <w:tcW w:w="3437" w:type="dxa"/>
            <w:vMerge w:val="restart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D66505" w:rsidRPr="00050EB7" w:rsidRDefault="00D66505" w:rsidP="00112FFB">
            <w:pPr>
              <w:pStyle w:val="af1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050EB7">
              <w:rPr>
                <w:rFonts w:ascii="Times New Roman" w:hAnsi="Times New Roman"/>
                <w:sz w:val="20"/>
                <w:szCs w:val="20"/>
                <w:lang w:eastAsia="uk-UA"/>
              </w:rPr>
              <w:t>= .... мг препарат на літр питної води</w:t>
            </w:r>
          </w:p>
        </w:tc>
      </w:tr>
      <w:tr w:rsidR="00D66505" w:rsidRPr="00050EB7" w:rsidTr="00112FFB">
        <w:trPr>
          <w:trHeight w:val="530"/>
        </w:trPr>
        <w:tc>
          <w:tcPr>
            <w:tcW w:w="6881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D66505" w:rsidRPr="00050EB7" w:rsidRDefault="00D66505" w:rsidP="00112FFB">
            <w:pPr>
              <w:pStyle w:val="af1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050EB7">
              <w:rPr>
                <w:rFonts w:ascii="Times New Roman" w:hAnsi="Times New Roman"/>
                <w:sz w:val="20"/>
                <w:szCs w:val="20"/>
                <w:lang w:eastAsia="uk-UA"/>
              </w:rPr>
              <w:t>Середнє добове споживання води (літри) на одну тварину</w:t>
            </w:r>
          </w:p>
        </w:tc>
        <w:tc>
          <w:tcPr>
            <w:tcW w:w="3437" w:type="dxa"/>
            <w:vMerge/>
            <w:tcBorders>
              <w:top w:val="single" w:sz="6" w:space="0" w:color="auto"/>
              <w:left w:val="nil"/>
              <w:bottom w:val="nil"/>
            </w:tcBorders>
          </w:tcPr>
          <w:p w:rsidR="00D66505" w:rsidRPr="00050EB7" w:rsidRDefault="00D66505" w:rsidP="00112FFB">
            <w:pPr>
              <w:pStyle w:val="af1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</w:tbl>
    <w:p w:rsidR="00D66505" w:rsidRPr="00050EB7" w:rsidRDefault="00D66505" w:rsidP="00D66505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Для забезпечення правильної дози та з метою уникнення застосування недостатньої дози, слід визначити масу тіла тварин якомога точніше. Для зважування рекомендується використовувати відповідно каліброване обладнання. Препарат необхідно добре розвести у питній воді, щоб максимально рівномірно розподілити. Споживання питної води з препаратом залежить від клінічного стану тварин та птиці. Для одержання правильної дози концентрацію </w:t>
      </w:r>
      <w:proofErr w:type="spellStart"/>
      <w:r w:rsidRPr="00050EB7">
        <w:rPr>
          <w:rFonts w:ascii="Times New Roman" w:hAnsi="Times New Roman"/>
          <w:sz w:val="24"/>
          <w:szCs w:val="24"/>
        </w:rPr>
        <w:t>доксицикліну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 слід відповідно відкоригувати. Медикаментозну воду необхідно оновлювати кожні 24 години.</w:t>
      </w:r>
    </w:p>
    <w:p w:rsidR="00D66505" w:rsidRPr="00050EB7" w:rsidRDefault="00D66505" w:rsidP="00D66505">
      <w:pPr>
        <w:pStyle w:val="a3"/>
        <w:numPr>
          <w:ilvl w:val="1"/>
          <w:numId w:val="3"/>
        </w:numPr>
        <w:spacing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Передозування (симптоми, невідкладні заходи, антидоти)</w:t>
      </w:r>
    </w:p>
    <w:p w:rsidR="00D66505" w:rsidRPr="00050EB7" w:rsidRDefault="00050EB7" w:rsidP="00050EB7">
      <w:pPr>
        <w:pStyle w:val="a3"/>
        <w:spacing w:line="24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0EB7">
        <w:rPr>
          <w:rFonts w:ascii="Times New Roman" w:hAnsi="Times New Roman"/>
          <w:color w:val="000000"/>
          <w:sz w:val="24"/>
          <w:szCs w:val="24"/>
          <w:lang w:eastAsia="uk-UA"/>
        </w:rPr>
        <w:t>Доксициклін</w:t>
      </w:r>
      <w:proofErr w:type="spellEnd"/>
      <w:r w:rsidRPr="00050EB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має високий терапевтичний індекс. Звичайна доза за перорального застосування 10-25 мг/кг маси тіла, тоді як LD</w:t>
      </w:r>
      <w:r w:rsidRPr="00050EB7">
        <w:rPr>
          <w:rFonts w:ascii="Times New Roman" w:hAnsi="Times New Roman"/>
          <w:color w:val="000000"/>
          <w:sz w:val="24"/>
          <w:szCs w:val="24"/>
          <w:vertAlign w:val="subscript"/>
          <w:lang w:eastAsia="uk-UA"/>
        </w:rPr>
        <w:t>50</w:t>
      </w:r>
      <w:r w:rsidRPr="00050EB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в у найбільш чутливих видів тварин становить 1700 мг/кг маси тіла за перорального застосування.</w:t>
      </w:r>
    </w:p>
    <w:p w:rsidR="00D66505" w:rsidRPr="00050EB7" w:rsidRDefault="00D66505" w:rsidP="00D66505">
      <w:pPr>
        <w:pStyle w:val="a3"/>
        <w:numPr>
          <w:ilvl w:val="1"/>
          <w:numId w:val="3"/>
        </w:numPr>
        <w:spacing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Спеціальні застереження</w:t>
      </w:r>
    </w:p>
    <w:p w:rsidR="00E42848" w:rsidRDefault="00D66505" w:rsidP="00D66505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Тваринам зі зниженим споживанням питної води, паралельно застосовувати відповідний ін’єкційний препарат. </w:t>
      </w:r>
      <w:r w:rsidR="00E42848" w:rsidRPr="00050EB7">
        <w:rPr>
          <w:rFonts w:ascii="Times New Roman" w:hAnsi="Times New Roman"/>
          <w:sz w:val="24"/>
          <w:szCs w:val="24"/>
        </w:rPr>
        <w:t xml:space="preserve"> </w:t>
      </w:r>
    </w:p>
    <w:p w:rsidR="00F12D3B" w:rsidRDefault="00F12D3B" w:rsidP="00D66505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12D3B" w:rsidRPr="00050EB7" w:rsidRDefault="00F12D3B" w:rsidP="00F12D3B">
      <w:pPr>
        <w:pStyle w:val="ab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Продовження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додатку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1                                                                                   </w:t>
      </w:r>
    </w:p>
    <w:p w:rsidR="00F12D3B" w:rsidRPr="00050EB7" w:rsidRDefault="00F12D3B" w:rsidP="00F12D3B">
      <w:pPr>
        <w:pStyle w:val="ab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реєстраційного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sz w:val="24"/>
          <w:szCs w:val="24"/>
          <w:lang w:val="ru-RU"/>
        </w:rPr>
        <w:t>посвідчення</w:t>
      </w:r>
      <w:proofErr w:type="spellEnd"/>
      <w:r w:rsidRPr="00050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0EB7">
        <w:rPr>
          <w:rFonts w:ascii="Times New Roman" w:hAnsi="Times New Roman" w:cs="Times New Roman"/>
          <w:sz w:val="24"/>
          <w:szCs w:val="24"/>
        </w:rPr>
        <w:t>AA</w:t>
      </w:r>
      <w:r w:rsidRPr="00050EB7">
        <w:rPr>
          <w:rFonts w:ascii="Times New Roman" w:hAnsi="Times New Roman" w:cs="Times New Roman"/>
          <w:sz w:val="24"/>
          <w:szCs w:val="24"/>
          <w:lang w:val="ru-RU"/>
        </w:rPr>
        <w:t>-01085-01-10</w:t>
      </w:r>
    </w:p>
    <w:p w:rsidR="00F12D3B" w:rsidRPr="00F12D3B" w:rsidRDefault="00F12D3B" w:rsidP="00D66505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848" w:rsidRPr="00050EB7" w:rsidRDefault="00E42848" w:rsidP="00E42848">
      <w:pPr>
        <w:pStyle w:val="a3"/>
        <w:numPr>
          <w:ilvl w:val="1"/>
          <w:numId w:val="3"/>
        </w:numPr>
        <w:spacing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Період виведення (</w:t>
      </w:r>
      <w:proofErr w:type="spellStart"/>
      <w:r w:rsidRPr="00050EB7">
        <w:rPr>
          <w:rFonts w:ascii="Times New Roman" w:hAnsi="Times New Roman"/>
          <w:b/>
          <w:bCs/>
          <w:sz w:val="24"/>
          <w:szCs w:val="24"/>
        </w:rPr>
        <w:t>каренція</w:t>
      </w:r>
      <w:proofErr w:type="spellEnd"/>
      <w:r w:rsidRPr="00050EB7">
        <w:rPr>
          <w:rFonts w:ascii="Times New Roman" w:hAnsi="Times New Roman"/>
          <w:b/>
          <w:bCs/>
          <w:sz w:val="24"/>
          <w:szCs w:val="24"/>
        </w:rPr>
        <w:t>)</w:t>
      </w:r>
    </w:p>
    <w:p w:rsidR="00E42848" w:rsidRPr="00050EB7" w:rsidRDefault="00E42848" w:rsidP="00E42848">
      <w:pPr>
        <w:pStyle w:val="a3"/>
        <w:spacing w:line="24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Забій тварин та птиці на м'ясо дозволяють через </w:t>
      </w:r>
      <w:r w:rsidR="00050EB7" w:rsidRPr="00050EB7">
        <w:rPr>
          <w:rFonts w:ascii="Times New Roman" w:hAnsi="Times New Roman"/>
          <w:sz w:val="24"/>
          <w:szCs w:val="24"/>
        </w:rPr>
        <w:t xml:space="preserve">8 діб </w:t>
      </w:r>
      <w:r w:rsidRPr="00050EB7">
        <w:rPr>
          <w:rFonts w:ascii="Times New Roman" w:hAnsi="Times New Roman"/>
          <w:sz w:val="24"/>
          <w:szCs w:val="24"/>
        </w:rPr>
        <w:t xml:space="preserve">(свині), та </w:t>
      </w:r>
      <w:r w:rsidR="00050EB7" w:rsidRPr="00050EB7">
        <w:rPr>
          <w:rFonts w:ascii="Times New Roman" w:hAnsi="Times New Roman"/>
          <w:sz w:val="24"/>
          <w:szCs w:val="24"/>
        </w:rPr>
        <w:t>5 діб</w:t>
      </w:r>
      <w:r w:rsidRPr="00050EB7">
        <w:rPr>
          <w:rFonts w:ascii="Times New Roman" w:hAnsi="Times New Roman"/>
          <w:sz w:val="24"/>
          <w:szCs w:val="24"/>
        </w:rPr>
        <w:t xml:space="preserve"> (</w:t>
      </w:r>
      <w:r w:rsidR="008F1B4B" w:rsidRPr="00050EB7">
        <w:rPr>
          <w:rFonts w:ascii="Times New Roman" w:hAnsi="Times New Roman"/>
          <w:sz w:val="24"/>
          <w:szCs w:val="24"/>
        </w:rPr>
        <w:t xml:space="preserve">курчата, </w:t>
      </w:r>
      <w:r w:rsidRPr="00050EB7">
        <w:rPr>
          <w:rFonts w:ascii="Times New Roman" w:hAnsi="Times New Roman"/>
          <w:sz w:val="24"/>
          <w:szCs w:val="24"/>
        </w:rPr>
        <w:t>кури-бройлери) після останнього застосування препарату. Отримане до зазначеного терміну м'ясо утилізують або згодовують непродуктивним тваринам, залежно від висновку лікаря ветеринарної медицини.</w:t>
      </w:r>
    </w:p>
    <w:p w:rsidR="00E42848" w:rsidRPr="00050EB7" w:rsidRDefault="00E42848" w:rsidP="00E42848">
      <w:pPr>
        <w:pStyle w:val="a3"/>
        <w:numPr>
          <w:ilvl w:val="1"/>
          <w:numId w:val="3"/>
        </w:numPr>
        <w:spacing w:line="240" w:lineRule="atLeast"/>
        <w:ind w:left="0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Спеціальні застереження для осіб і обслуговуючого персоналу</w:t>
      </w:r>
    </w:p>
    <w:p w:rsidR="00E42848" w:rsidRPr="00050EB7" w:rsidRDefault="00E42848" w:rsidP="00E42848">
      <w:pPr>
        <w:pStyle w:val="a3"/>
        <w:spacing w:line="240" w:lineRule="atLeast"/>
        <w:ind w:left="0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Використовуйте препарат у захисних рукавичках, не вдихайте, уникайте контакту зі шкірою та очима. При потраплянні препарату на шкіру, ретельно </w:t>
      </w:r>
      <w:r w:rsidRPr="00050EB7">
        <w:rPr>
          <w:rFonts w:ascii="Times New Roman" w:hAnsi="Times New Roman"/>
          <w:sz w:val="24"/>
          <w:szCs w:val="24"/>
          <w:lang w:val="ru-RU"/>
        </w:rPr>
        <w:t>з</w:t>
      </w:r>
      <w:r w:rsidRPr="00050EB7">
        <w:rPr>
          <w:rFonts w:ascii="Times New Roman" w:hAnsi="Times New Roman"/>
          <w:sz w:val="24"/>
          <w:szCs w:val="24"/>
        </w:rPr>
        <w:t>мити водою з милом. При потраплянні в очі, відразу ж змити чистою водою.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6. Фармацевтичні особливості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6.1 Форми несумісності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Не змішувати з іншими бактерицидними препаратами.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6.2 Термін придатності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2 роки.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Термін зберігання після першого відкриття - 15 діб (для банок по 250 г і пакетів по 1 кг) та  3 місяці (для пакетів по 5 кг).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Style w:val="longtext"/>
          <w:rFonts w:ascii="Times New Roman" w:eastAsia="Arial Unicode MS" w:hAnsi="Times New Roman"/>
          <w:sz w:val="24"/>
          <w:szCs w:val="24"/>
          <w:shd w:val="clear" w:color="auto" w:fill="FFFFFF"/>
        </w:rPr>
        <w:t xml:space="preserve">Термін придатності після розведення у питній воді  - </w:t>
      </w:r>
      <w:r w:rsidRPr="00050EB7">
        <w:rPr>
          <w:rFonts w:ascii="Times New Roman" w:hAnsi="Times New Roman"/>
          <w:sz w:val="24"/>
          <w:szCs w:val="24"/>
        </w:rPr>
        <w:t>6 годин.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6.3 Особливі заходи зберігання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Сухе темне, недоступне для дітей місце за температури від 15 до 25 °С.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6.4 Природа і склад контейнера первинного пакування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Поліпропіленові банки по 250 г.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 xml:space="preserve">Пакети з подвійного </w:t>
      </w:r>
      <w:proofErr w:type="spellStart"/>
      <w:r w:rsidRPr="00050EB7">
        <w:rPr>
          <w:rFonts w:ascii="Times New Roman" w:hAnsi="Times New Roman"/>
          <w:sz w:val="24"/>
          <w:szCs w:val="24"/>
        </w:rPr>
        <w:t>поліестеру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0EB7">
        <w:rPr>
          <w:rFonts w:ascii="Times New Roman" w:hAnsi="Times New Roman"/>
          <w:sz w:val="24"/>
          <w:szCs w:val="24"/>
        </w:rPr>
        <w:t>-алюмінію-поліестеру-поліетилену</w:t>
      </w:r>
      <w:proofErr w:type="spellEnd"/>
      <w:r w:rsidRPr="00050EB7">
        <w:rPr>
          <w:rFonts w:ascii="Times New Roman" w:hAnsi="Times New Roman"/>
          <w:sz w:val="24"/>
          <w:szCs w:val="24"/>
        </w:rPr>
        <w:t xml:space="preserve"> по 1000 г.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0EB7">
        <w:rPr>
          <w:rFonts w:ascii="Times New Roman" w:hAnsi="Times New Roman"/>
          <w:sz w:val="24"/>
          <w:szCs w:val="24"/>
        </w:rPr>
        <w:t>Первинна упаковка - пакети з подвійного паперу-поліетилену , вторинна - відро по 5 кг.</w:t>
      </w:r>
    </w:p>
    <w:p w:rsidR="00E42848" w:rsidRPr="00050EB7" w:rsidRDefault="00E42848" w:rsidP="00E42848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50EB7">
        <w:rPr>
          <w:rFonts w:ascii="Times New Roman" w:hAnsi="Times New Roman"/>
          <w:b/>
          <w:bCs/>
          <w:sz w:val="24"/>
          <w:szCs w:val="24"/>
        </w:rPr>
        <w:t>6.5 Особливі заходи безпеки при поводженні з невикористаним препаратом або із його залишками</w:t>
      </w:r>
    </w:p>
    <w:p w:rsidR="00E42848" w:rsidRPr="00050EB7" w:rsidRDefault="00E42848" w:rsidP="00E42848">
      <w:pPr>
        <w:spacing w:line="274" w:lineRule="exact"/>
        <w:ind w:left="20" w:right="20" w:firstLine="560"/>
        <w:jc w:val="both"/>
        <w:rPr>
          <w:rFonts w:ascii="Times New Roman" w:eastAsia="Times New Roman" w:hAnsi="Times New Roman"/>
          <w:sz w:val="24"/>
          <w:szCs w:val="24"/>
        </w:rPr>
      </w:pPr>
      <w:r w:rsidRPr="00050EB7">
        <w:rPr>
          <w:rFonts w:ascii="Times New Roman" w:hAnsi="Times New Roman"/>
          <w:spacing w:val="-1"/>
          <w:sz w:val="24"/>
          <w:szCs w:val="24"/>
        </w:rPr>
        <w:t>Порожню упаковку та залишки невикористаного препарату потрібно утилізувати згідно з чинним законодавством.</w:t>
      </w:r>
    </w:p>
    <w:p w:rsidR="00E42848" w:rsidRPr="00050EB7" w:rsidRDefault="00E42848" w:rsidP="00E42848">
      <w:pPr>
        <w:pStyle w:val="1"/>
        <w:ind w:firstLine="58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0E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proofErr w:type="spell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Назва</w:t>
      </w:r>
      <w:proofErr w:type="spell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та </w:t>
      </w:r>
      <w:proofErr w:type="spellStart"/>
      <w:proofErr w:type="gram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proofErr w:type="gram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ісцезнаходження</w:t>
      </w:r>
      <w:proofErr w:type="spell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власника</w:t>
      </w:r>
      <w:proofErr w:type="spell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реєстраційного</w:t>
      </w:r>
      <w:proofErr w:type="spell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посвідчення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5267"/>
        <w:gridCol w:w="5267"/>
      </w:tblGrid>
      <w:tr w:rsidR="00E42848" w:rsidRPr="00050EB7" w:rsidTr="004B7021">
        <w:tc>
          <w:tcPr>
            <w:tcW w:w="5267" w:type="dxa"/>
            <w:shd w:val="clear" w:color="auto" w:fill="auto"/>
          </w:tcPr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Індустрія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Італьяна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Інтеграторі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ТРЕІ </w:t>
            </w: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.п.</w:t>
            </w: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41124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Модена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Biaл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Корассори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Італія</w:t>
            </w:r>
            <w:proofErr w:type="spellEnd"/>
          </w:p>
        </w:tc>
        <w:tc>
          <w:tcPr>
            <w:tcW w:w="5267" w:type="dxa"/>
            <w:shd w:val="clear" w:color="auto" w:fill="auto"/>
          </w:tcPr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Industria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Italiana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Integratori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TREI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S.p.A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41124 Modena,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Viale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Corassori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</w:tr>
    </w:tbl>
    <w:p w:rsidR="00E42848" w:rsidRPr="00050EB7" w:rsidRDefault="00E42848" w:rsidP="00E42848">
      <w:pPr>
        <w:pStyle w:val="1"/>
        <w:ind w:firstLine="5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0E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8. </w:t>
      </w:r>
      <w:proofErr w:type="spell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Назва</w:t>
      </w:r>
      <w:proofErr w:type="spell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та </w:t>
      </w:r>
      <w:proofErr w:type="spellStart"/>
      <w:proofErr w:type="gram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proofErr w:type="gram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ісцезнаходження</w:t>
      </w:r>
      <w:proofErr w:type="spell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виробника</w:t>
      </w:r>
      <w:proofErr w:type="spell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proofErr w:type="spellStart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виробників</w:t>
      </w:r>
      <w:proofErr w:type="spellEnd"/>
      <w:r w:rsidRPr="00050EB7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67"/>
        <w:gridCol w:w="5267"/>
      </w:tblGrid>
      <w:tr w:rsidR="00E42848" w:rsidRPr="00050EB7" w:rsidTr="004B7021">
        <w:tc>
          <w:tcPr>
            <w:tcW w:w="5267" w:type="dxa"/>
            <w:shd w:val="clear" w:color="auto" w:fill="auto"/>
          </w:tcPr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Індустрія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Італьяна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Інтеграторі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ТРЕІ </w:t>
            </w: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50E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E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42010</w:t>
            </w:r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Pio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Саліцето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(РЕ),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Bia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Аффароса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4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Італія</w:t>
            </w:r>
            <w:proofErr w:type="spellEnd"/>
          </w:p>
        </w:tc>
        <w:tc>
          <w:tcPr>
            <w:tcW w:w="5267" w:type="dxa"/>
            <w:shd w:val="clear" w:color="auto" w:fill="auto"/>
          </w:tcPr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Industria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Italiana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Integratori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TREI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S.p.A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0E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42010</w:t>
            </w: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 Rio </w:t>
            </w:r>
            <w:proofErr w:type="spellStart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Saliceto</w:t>
            </w:r>
            <w:proofErr w:type="spellEnd"/>
            <w:r w:rsidRPr="00050EB7">
              <w:rPr>
                <w:rFonts w:ascii="Times New Roman" w:hAnsi="Times New Roman" w:cs="Times New Roman"/>
                <w:sz w:val="24"/>
                <w:szCs w:val="24"/>
              </w:rPr>
              <w:t xml:space="preserve"> (RE),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Via Affarosa,4</w:t>
            </w:r>
          </w:p>
          <w:p w:rsidR="00E42848" w:rsidRPr="00050EB7" w:rsidRDefault="00E42848" w:rsidP="004B7021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EB7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</w:tr>
    </w:tbl>
    <w:p w:rsidR="00D66505" w:rsidRPr="00050EB7" w:rsidRDefault="00D66505" w:rsidP="00D66505">
      <w:pPr>
        <w:pStyle w:val="af1"/>
        <w:ind w:firstLine="708"/>
        <w:rPr>
          <w:rFonts w:ascii="Times New Roman" w:hAnsi="Times New Roman"/>
          <w:b/>
          <w:sz w:val="24"/>
          <w:szCs w:val="24"/>
        </w:rPr>
      </w:pPr>
      <w:r w:rsidRPr="00050EB7">
        <w:rPr>
          <w:rFonts w:ascii="Times New Roman" w:hAnsi="Times New Roman"/>
          <w:b/>
          <w:sz w:val="24"/>
          <w:szCs w:val="24"/>
        </w:rPr>
        <w:t>9. Додаткова інформація</w:t>
      </w:r>
    </w:p>
    <w:p w:rsidR="00E42848" w:rsidRPr="0017062C" w:rsidRDefault="00D66505" w:rsidP="00D66505">
      <w:pPr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r w:rsidRPr="00050EB7">
        <w:rPr>
          <w:rFonts w:ascii="Times New Roman" w:hAnsi="Times New Roman"/>
          <w:sz w:val="24"/>
          <w:szCs w:val="24"/>
        </w:rPr>
        <w:t>Рекомендовано відпуск за рецептом.</w:t>
      </w:r>
    </w:p>
    <w:p w:rsidR="00C02B62" w:rsidRPr="0017062C" w:rsidRDefault="00C02B62" w:rsidP="00E42848">
      <w:pPr>
        <w:rPr>
          <w:rFonts w:ascii="Times New Roman" w:hAnsi="Times New Roman"/>
        </w:rPr>
      </w:pPr>
    </w:p>
    <w:sectPr w:rsidR="00C02B62" w:rsidRPr="0017062C" w:rsidSect="00DE31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EBE" w:rsidRDefault="00733EBE">
      <w:r>
        <w:separator/>
      </w:r>
    </w:p>
  </w:endnote>
  <w:endnote w:type="continuationSeparator" w:id="0">
    <w:p w:rsidR="00733EBE" w:rsidRDefault="0073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02" w:rsidRDefault="00111626" w:rsidP="004C093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55E0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55E02" w:rsidRDefault="00855E0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02" w:rsidRDefault="00111626" w:rsidP="004C093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55E0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314C">
      <w:rPr>
        <w:rStyle w:val="a8"/>
        <w:noProof/>
      </w:rPr>
      <w:t>3</w:t>
    </w:r>
    <w:r>
      <w:rPr>
        <w:rStyle w:val="a8"/>
      </w:rPr>
      <w:fldChar w:fldCharType="end"/>
    </w:r>
  </w:p>
  <w:p w:rsidR="00855E02" w:rsidRDefault="00855E02">
    <w:pPr>
      <w:pStyle w:val="a7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14C" w:rsidRDefault="00DE31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EBE" w:rsidRDefault="00733EBE">
      <w:r>
        <w:separator/>
      </w:r>
    </w:p>
  </w:footnote>
  <w:footnote w:type="continuationSeparator" w:id="0">
    <w:p w:rsidR="00733EBE" w:rsidRDefault="00733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14C" w:rsidRDefault="00DE314C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14C" w:rsidRDefault="00DE314C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14C" w:rsidRDefault="00DE314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3241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F286B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08FD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F606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226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0CF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3E3D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42BC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58C0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96B6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494BD1"/>
    <w:multiLevelType w:val="multilevel"/>
    <w:tmpl w:val="21EE00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DF70BF6"/>
    <w:multiLevelType w:val="multilevel"/>
    <w:tmpl w:val="11AC304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BC2949"/>
    <w:multiLevelType w:val="multilevel"/>
    <w:tmpl w:val="438A67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4A6895"/>
    <w:multiLevelType w:val="multilevel"/>
    <w:tmpl w:val="B1BABA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2B62"/>
    <w:rsid w:val="00050EB7"/>
    <w:rsid w:val="00077970"/>
    <w:rsid w:val="000A24A3"/>
    <w:rsid w:val="000C0D45"/>
    <w:rsid w:val="00111626"/>
    <w:rsid w:val="00137171"/>
    <w:rsid w:val="001443A7"/>
    <w:rsid w:val="0017062C"/>
    <w:rsid w:val="001916E5"/>
    <w:rsid w:val="0019722F"/>
    <w:rsid w:val="001B7F19"/>
    <w:rsid w:val="001E271E"/>
    <w:rsid w:val="001F56B1"/>
    <w:rsid w:val="00221B7A"/>
    <w:rsid w:val="00286A74"/>
    <w:rsid w:val="002E5879"/>
    <w:rsid w:val="002F1C28"/>
    <w:rsid w:val="0039782C"/>
    <w:rsid w:val="003A218D"/>
    <w:rsid w:val="00414785"/>
    <w:rsid w:val="00423C80"/>
    <w:rsid w:val="00426080"/>
    <w:rsid w:val="00494814"/>
    <w:rsid w:val="004A3E92"/>
    <w:rsid w:val="004B7021"/>
    <w:rsid w:val="004C0663"/>
    <w:rsid w:val="004C093D"/>
    <w:rsid w:val="004E4511"/>
    <w:rsid w:val="004F5326"/>
    <w:rsid w:val="004F6B66"/>
    <w:rsid w:val="00514246"/>
    <w:rsid w:val="00532D54"/>
    <w:rsid w:val="0053751B"/>
    <w:rsid w:val="00585CB7"/>
    <w:rsid w:val="0059181D"/>
    <w:rsid w:val="005A3FFD"/>
    <w:rsid w:val="006108F9"/>
    <w:rsid w:val="006237A5"/>
    <w:rsid w:val="006267E3"/>
    <w:rsid w:val="006939ED"/>
    <w:rsid w:val="006B1E80"/>
    <w:rsid w:val="006E056B"/>
    <w:rsid w:val="00724254"/>
    <w:rsid w:val="00727867"/>
    <w:rsid w:val="00733EBE"/>
    <w:rsid w:val="007A7D32"/>
    <w:rsid w:val="007F0824"/>
    <w:rsid w:val="008352DF"/>
    <w:rsid w:val="008527EF"/>
    <w:rsid w:val="00855E02"/>
    <w:rsid w:val="008C6E03"/>
    <w:rsid w:val="008D41E4"/>
    <w:rsid w:val="008D5055"/>
    <w:rsid w:val="008F1B4B"/>
    <w:rsid w:val="00991C1B"/>
    <w:rsid w:val="009F4CA9"/>
    <w:rsid w:val="00A30654"/>
    <w:rsid w:val="00A61EAC"/>
    <w:rsid w:val="00A64B52"/>
    <w:rsid w:val="00A858D0"/>
    <w:rsid w:val="00AE0778"/>
    <w:rsid w:val="00AE14D6"/>
    <w:rsid w:val="00B619FC"/>
    <w:rsid w:val="00B7090F"/>
    <w:rsid w:val="00B71CC7"/>
    <w:rsid w:val="00BE5FF0"/>
    <w:rsid w:val="00C02B62"/>
    <w:rsid w:val="00C2091D"/>
    <w:rsid w:val="00C27486"/>
    <w:rsid w:val="00C276B4"/>
    <w:rsid w:val="00D1736F"/>
    <w:rsid w:val="00D278B2"/>
    <w:rsid w:val="00D32009"/>
    <w:rsid w:val="00D35535"/>
    <w:rsid w:val="00D46ECD"/>
    <w:rsid w:val="00D5077E"/>
    <w:rsid w:val="00D60550"/>
    <w:rsid w:val="00D66505"/>
    <w:rsid w:val="00D81F9A"/>
    <w:rsid w:val="00D87416"/>
    <w:rsid w:val="00DB3B57"/>
    <w:rsid w:val="00DE314C"/>
    <w:rsid w:val="00DF178D"/>
    <w:rsid w:val="00E42848"/>
    <w:rsid w:val="00EA44BE"/>
    <w:rsid w:val="00EB68D3"/>
    <w:rsid w:val="00ED08EC"/>
    <w:rsid w:val="00F12D3B"/>
    <w:rsid w:val="00F3667E"/>
    <w:rsid w:val="00F44097"/>
    <w:rsid w:val="00F445E1"/>
    <w:rsid w:val="00FE28EC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91D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B62"/>
    <w:pPr>
      <w:ind w:left="720"/>
      <w:contextualSpacing/>
    </w:pPr>
  </w:style>
  <w:style w:type="table" w:styleId="a4">
    <w:name w:val="Table Grid"/>
    <w:basedOn w:val="a1"/>
    <w:rsid w:val="002E5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basedOn w:val="a"/>
    <w:rsid w:val="00991C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7A7D32"/>
    <w:rPr>
      <w:rFonts w:ascii="Arial" w:eastAsia="Times New Roman" w:hAnsi="Arial"/>
      <w:snapToGrid w:val="0"/>
      <w:sz w:val="24"/>
    </w:rPr>
  </w:style>
  <w:style w:type="paragraph" w:styleId="a6">
    <w:name w:val="Body Text Indent"/>
    <w:basedOn w:val="a"/>
    <w:rsid w:val="007A7D3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longtext">
    <w:name w:val="long_text"/>
    <w:basedOn w:val="a0"/>
    <w:rsid w:val="00D46ECD"/>
  </w:style>
  <w:style w:type="paragraph" w:customStyle="1" w:styleId="1">
    <w:name w:val="Знак Знак1 Знак Знак"/>
    <w:basedOn w:val="a"/>
    <w:rsid w:val="00D46E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footer"/>
    <w:basedOn w:val="a"/>
    <w:rsid w:val="00F445E1"/>
    <w:pPr>
      <w:tabs>
        <w:tab w:val="center" w:pos="4819"/>
        <w:tab w:val="right" w:pos="9639"/>
      </w:tabs>
    </w:pPr>
  </w:style>
  <w:style w:type="character" w:styleId="a8">
    <w:name w:val="page number"/>
    <w:basedOn w:val="a0"/>
    <w:rsid w:val="00F445E1"/>
  </w:style>
  <w:style w:type="paragraph" w:styleId="a9">
    <w:name w:val="Balloon Text"/>
    <w:basedOn w:val="a"/>
    <w:link w:val="aa"/>
    <w:uiPriority w:val="99"/>
    <w:semiHidden/>
    <w:unhideWhenUsed/>
    <w:rsid w:val="00A6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61EAC"/>
    <w:rPr>
      <w:rFonts w:ascii="Tahoma" w:hAnsi="Tahoma" w:cs="Tahoma"/>
      <w:sz w:val="16"/>
      <w:szCs w:val="16"/>
      <w:lang w:eastAsia="en-US"/>
    </w:rPr>
  </w:style>
  <w:style w:type="paragraph" w:customStyle="1" w:styleId="ab">
    <w:name w:val="Знак Знак Знак"/>
    <w:basedOn w:val="a"/>
    <w:rsid w:val="00855E0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annotation reference"/>
    <w:basedOn w:val="a0"/>
    <w:uiPriority w:val="99"/>
    <w:semiHidden/>
    <w:unhideWhenUsed/>
    <w:rsid w:val="00423C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23C8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23C80"/>
    <w:rPr>
      <w:lang w:val="uk-UA"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23C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23C80"/>
    <w:rPr>
      <w:b/>
      <w:bCs/>
      <w:lang w:val="uk-UA" w:eastAsia="en-US"/>
    </w:rPr>
  </w:style>
  <w:style w:type="paragraph" w:styleId="af1">
    <w:name w:val="No Spacing"/>
    <w:uiPriority w:val="1"/>
    <w:qFormat/>
    <w:rsid w:val="00D66505"/>
    <w:rPr>
      <w:sz w:val="22"/>
      <w:szCs w:val="22"/>
      <w:lang w:val="uk-UA" w:eastAsia="en-US"/>
    </w:rPr>
  </w:style>
  <w:style w:type="paragraph" w:styleId="af2">
    <w:name w:val="header"/>
    <w:basedOn w:val="a"/>
    <w:link w:val="af3"/>
    <w:uiPriority w:val="99"/>
    <w:unhideWhenUsed/>
    <w:rsid w:val="00B619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619FC"/>
    <w:rPr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5764</Words>
  <Characters>3286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Коротка характеристика препарату</vt:lpstr>
      <vt:lpstr>Коротка характеристика препарату</vt:lpstr>
    </vt:vector>
  </TitlesOfParts>
  <Company/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Коротка характеристика препарату</dc:title>
  <dc:creator>Лысенко Татьяна</dc:creator>
  <cp:lastModifiedBy>expert_13</cp:lastModifiedBy>
  <cp:revision>9</cp:revision>
  <dcterms:created xsi:type="dcterms:W3CDTF">2026-07-15T10:33:00Z</dcterms:created>
  <dcterms:modified xsi:type="dcterms:W3CDTF">2026-07-23T11:42:00Z</dcterms:modified>
</cp:coreProperties>
</file>