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3EC" w:rsidRPr="00FB16C5" w:rsidRDefault="00D243EC" w:rsidP="00F62E4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>Коротка характеристика препарату</w:t>
      </w:r>
    </w:p>
    <w:p w:rsidR="00D243EC" w:rsidRPr="00FB16C5" w:rsidRDefault="00D243EC" w:rsidP="00F62E4C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:rsidR="00D243EC" w:rsidRPr="00FB16C5" w:rsidRDefault="00D243EC" w:rsidP="0070326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>1. Назва ветеринарного препарату</w:t>
      </w:r>
    </w:p>
    <w:p w:rsidR="00D243EC" w:rsidRPr="00FB16C5" w:rsidRDefault="00D243EC" w:rsidP="0070326A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>АТІПАМ, 5,0 мг/мл, розчин для ін’єкцій для котів та собак</w:t>
      </w:r>
    </w:p>
    <w:p w:rsidR="00D243EC" w:rsidRPr="00FB16C5" w:rsidRDefault="00D243EC" w:rsidP="0070326A">
      <w:pPr>
        <w:spacing w:after="0" w:line="240" w:lineRule="auto"/>
        <w:ind w:firstLine="567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>2. Якісний і кількісний склад</w:t>
      </w:r>
    </w:p>
    <w:p w:rsidR="00D243EC" w:rsidRPr="00FB16C5" w:rsidRDefault="00D243EC" w:rsidP="0070326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>1 мл препарату містить діючу речовину:</w:t>
      </w:r>
    </w:p>
    <w:p w:rsidR="00D243EC" w:rsidRPr="00FB16C5" w:rsidRDefault="00D243EC" w:rsidP="0070326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>атіпамезолу гідрохлорид</w:t>
      </w: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ab/>
        <w:t xml:space="preserve">- 5,0 мг </w:t>
      </w:r>
    </w:p>
    <w:p w:rsidR="00D243EC" w:rsidRPr="00FB16C5" w:rsidRDefault="00D243EC" w:rsidP="0070326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(що еквівалентно 4,27 мг атіпамезолу основи) </w:t>
      </w:r>
    </w:p>
    <w:p w:rsidR="00D243EC" w:rsidRPr="00FB16C5" w:rsidRDefault="00D243EC" w:rsidP="0070326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>Допоміжні речовини: метилпарагідроксибензоат (E 218), натрію хлорид, натрію гідроксид, кислота хлористоводнева, вода для ін’єкцій.</w:t>
      </w:r>
    </w:p>
    <w:p w:rsidR="00D243EC" w:rsidRPr="00FB16C5" w:rsidRDefault="00D243EC" w:rsidP="0070326A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>3. Ф</w:t>
      </w: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>а</w:t>
      </w: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рмацевтична форма </w:t>
      </w:r>
    </w:p>
    <w:p w:rsidR="00D243EC" w:rsidRPr="00FB16C5" w:rsidRDefault="00D243EC" w:rsidP="00F62E4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>Розчин для ін’єкцій.</w:t>
      </w:r>
    </w:p>
    <w:p w:rsidR="00D243EC" w:rsidRPr="00FB16C5" w:rsidRDefault="00D243EC" w:rsidP="0070326A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4. Фармакологічні властивості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ru-RU"/>
        </w:rPr>
        <w:t>ATCvet класифікаційний код: QV03A- інші терапевтичні засоби.  QV03AB- антидоти.  QV03AB90 - Атіпамезол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Атіпамезол є потужним та селективним блокуючим альфа</w:t>
      </w:r>
      <w:r w:rsidRPr="00FB16C5">
        <w:rPr>
          <w:rFonts w:ascii="Times New Roman" w:eastAsia="Times New Roman" w:hAnsi="Times New Roman"/>
          <w:color w:val="000000"/>
          <w:szCs w:val="20"/>
        </w:rPr>
        <w:t>-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2-рецептором (альфа</w:t>
      </w:r>
      <w:r w:rsidRPr="00FB16C5">
        <w:rPr>
          <w:rFonts w:ascii="Times New Roman" w:eastAsia="Times New Roman" w:hAnsi="Times New Roman"/>
          <w:color w:val="000000"/>
          <w:szCs w:val="20"/>
        </w:rPr>
        <w:t>-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2-антидот), який сприяє вивільненню норадреналіну в центральну та периферичну нервову систему. Це призводить до активації центральної нервової системи внаслідок активації симпатичної нервової системи. Атіпамезол певною мірою впливає на серцево-судинну систему, хоча, протягом перших 10-ти хвилин після введення атіпамезолу гідро хлорид може спричинити короткочасне зниження артеріального тиску. Як альфа</w:t>
      </w:r>
      <w:r w:rsidRPr="00FB16C5">
        <w:rPr>
          <w:rFonts w:ascii="Times New Roman" w:eastAsia="Times New Roman" w:hAnsi="Times New Roman"/>
          <w:color w:val="000000"/>
          <w:szCs w:val="20"/>
        </w:rPr>
        <w:t>-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2-антидот, атіпамезол здатний усунути (або пригнічувати) дію альфа</w:t>
      </w:r>
      <w:r w:rsidRPr="00FB16C5">
        <w:rPr>
          <w:rFonts w:ascii="Times New Roman" w:eastAsia="Times New Roman" w:hAnsi="Times New Roman"/>
          <w:color w:val="000000"/>
          <w:szCs w:val="20"/>
        </w:rPr>
        <w:t>-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2-агоніст рецепторів – медетомідину або дексмедетомідину. Таким чином, атіпамезол впливає на седативну дію медетомідину або дексмедетомідину у котів та собак, приводячи тварину в норму та може </w:t>
      </w:r>
      <w:r w:rsidR="006819E5" w:rsidRPr="00FB16C5">
        <w:rPr>
          <w:rFonts w:ascii="Times New Roman" w:hAnsi="Times New Roman"/>
          <w:color w:val="000000"/>
          <w:sz w:val="24"/>
          <w:szCs w:val="24"/>
          <w:lang w:eastAsia="ru-RU"/>
        </w:rPr>
        <w:t>спричинити</w:t>
      </w:r>
      <w:r w:rsidR="006819E5"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тимчасове </w:t>
      </w:r>
      <w:r w:rsidR="00377B69"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прискорення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частоти серцебиття.</w:t>
      </w:r>
    </w:p>
    <w:p w:rsidR="00147C40" w:rsidRPr="00FB16C5" w:rsidRDefault="00147C40" w:rsidP="00147C40">
      <w:pPr>
        <w:tabs>
          <w:tab w:val="left" w:pos="851"/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Атіпамезол швидко всмокту</w:t>
      </w:r>
      <w:r w:rsidRPr="00FB16C5">
        <w:rPr>
          <w:rFonts w:ascii="Times New Roman" w:eastAsia="Times New Roman" w:hAnsi="Times New Roman"/>
          <w:color w:val="000000"/>
          <w:sz w:val="24"/>
          <w:szCs w:val="20"/>
        </w:rPr>
        <w:t>є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ться після внутрішньом’язового введення. Максимальна концентрація в центральній нервовій системі досягається через 10-15 хвилин після введення. Об’єм розподілу досягає близько 1-2,5 л/кг. Період напіввиведення атіпамезолу гідрохлориду становить </w:t>
      </w:r>
      <w:r w:rsidR="00377B69"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близько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1 годин</w:t>
      </w:r>
      <w:r w:rsidR="00377B69"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Атіпамезолу гідрохлорид швидко та повністю метаболізується. Метаболіти виводяться з сечею та, в меншій кількості, з фекаліями.</w:t>
      </w:r>
    </w:p>
    <w:p w:rsidR="00147C40" w:rsidRPr="00FB16C5" w:rsidRDefault="00147C40" w:rsidP="00147C40">
      <w:pPr>
        <w:tabs>
          <w:tab w:val="left" w:pos="851"/>
          <w:tab w:val="center" w:pos="4153"/>
          <w:tab w:val="right" w:pos="830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FB16C5">
        <w:rPr>
          <w:rFonts w:ascii="Times New Roman" w:eastAsia="Times New Roman" w:hAnsi="Times New Roman"/>
          <w:b/>
          <w:color w:val="000000"/>
          <w:sz w:val="24"/>
          <w:szCs w:val="24"/>
        </w:rPr>
        <w:t>5. Клінічні особливості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5.1. Вид тварин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Собаки, коти.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5.2. Показання до застосування, цільовий вид тварин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АТІПАМ,</w:t>
      </w:r>
      <w:r w:rsidRPr="00FB16C5">
        <w:rPr>
          <w:rFonts w:ascii="Times New Roman" w:eastAsia="Times New Roman" w:hAnsi="Times New Roman"/>
          <w:color w:val="000000"/>
          <w:sz w:val="24"/>
          <w:szCs w:val="24"/>
        </w:rPr>
        <w:t xml:space="preserve"> як 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альфа</w:t>
      </w:r>
      <w:r w:rsidRPr="00FB16C5">
        <w:rPr>
          <w:rFonts w:ascii="Times New Roman" w:eastAsia="Times New Roman" w:hAnsi="Times New Roman"/>
          <w:color w:val="000000"/>
          <w:sz w:val="24"/>
          <w:szCs w:val="24"/>
        </w:rPr>
        <w:t>-2-селективний антагоніст, застосовують для зняття седативної дії та інших дій  медетомідину і дексмедетомідину у котів і собак.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5.3. Протипоказання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Не застосовувати препарат племінним тваринам (тваринам для розведення)!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Не застосовувати тваринам із патологіями печінки або нирок!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Не застосовувати тваринам у період вагітності та лактації! 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5.4. Побічна дія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Собаки та коти: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9"/>
        <w:gridCol w:w="4840"/>
      </w:tblGrid>
      <w:tr w:rsidR="00137967" w:rsidRPr="00FB16C5" w:rsidTr="00FB16C5">
        <w:tc>
          <w:tcPr>
            <w:tcW w:w="4839" w:type="dxa"/>
            <w:shd w:val="clear" w:color="auto" w:fill="auto"/>
          </w:tcPr>
          <w:p w:rsidR="00147C40" w:rsidRPr="00FB16C5" w:rsidRDefault="00147C40" w:rsidP="00FB16C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Рідко </w:t>
            </w:r>
          </w:p>
          <w:p w:rsidR="00147C40" w:rsidRPr="00FB16C5" w:rsidRDefault="00147C40" w:rsidP="00FB16C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(від 1 до 10 тварин на 10 000 оброблених тварин)</w:t>
            </w:r>
          </w:p>
        </w:tc>
        <w:tc>
          <w:tcPr>
            <w:tcW w:w="4840" w:type="dxa"/>
            <w:shd w:val="clear" w:color="auto" w:fill="auto"/>
          </w:tcPr>
          <w:p w:rsidR="00147C40" w:rsidRPr="00FB16C5" w:rsidRDefault="00147C40" w:rsidP="00FB16C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Гіперактивність, вокалізація</w:t>
            </w: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en-US" w:eastAsia="ru-RU"/>
              </w:rPr>
              <w:t>a</w:t>
            </w: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неконтрольоване сечовипускання, неконтрольована дефекація</w:t>
            </w:r>
          </w:p>
          <w:p w:rsidR="00147C40" w:rsidRPr="00FB16C5" w:rsidRDefault="00147C40" w:rsidP="00FB16C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Тахікардія</w:t>
            </w:r>
          </w:p>
          <w:p w:rsidR="00147C40" w:rsidRPr="00FB16C5" w:rsidRDefault="00147C40" w:rsidP="00FB16C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Підвищене слиновиділення, блювання</w:t>
            </w:r>
          </w:p>
          <w:p w:rsidR="00147C40" w:rsidRPr="00FB16C5" w:rsidRDefault="00147C40" w:rsidP="00FB16C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М’язовий тремор</w:t>
            </w:r>
          </w:p>
          <w:p w:rsidR="00147C40" w:rsidRPr="00FB16C5" w:rsidRDefault="00377B69" w:rsidP="00FB16C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Прискорена</w:t>
            </w:r>
            <w:r w:rsidR="00147C40"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частота дихання</w:t>
            </w:r>
          </w:p>
        </w:tc>
      </w:tr>
      <w:tr w:rsidR="00137967" w:rsidRPr="00FB16C5" w:rsidTr="00FB16C5">
        <w:tc>
          <w:tcPr>
            <w:tcW w:w="4839" w:type="dxa"/>
            <w:shd w:val="clear" w:color="auto" w:fill="auto"/>
          </w:tcPr>
          <w:p w:rsidR="00147C40" w:rsidRPr="00FB16C5" w:rsidRDefault="00147C40" w:rsidP="00FB16C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Дуже рідко </w:t>
            </w:r>
          </w:p>
          <w:p w:rsidR="00147C40" w:rsidRPr="00FB16C5" w:rsidRDefault="00147C40" w:rsidP="00FB16C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(менше 1 тварини на 10 000 оброблених тварин, </w:t>
            </w:r>
            <w:r w:rsidR="00377B69"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включно</w:t>
            </w: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поодинокі повідомлення)</w:t>
            </w:r>
          </w:p>
        </w:tc>
        <w:tc>
          <w:tcPr>
            <w:tcW w:w="4840" w:type="dxa"/>
            <w:shd w:val="clear" w:color="auto" w:fill="auto"/>
          </w:tcPr>
          <w:p w:rsidR="00147C40" w:rsidRPr="00FB16C5" w:rsidRDefault="00147C40" w:rsidP="00FB16C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Гіпотензія</w:t>
            </w: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en-US" w:eastAsia="ru-RU"/>
              </w:rPr>
              <w:t>b</w:t>
            </w:r>
          </w:p>
          <w:p w:rsidR="00147C40" w:rsidRPr="00FB16C5" w:rsidRDefault="00147C40" w:rsidP="00FB16C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Седація</w:t>
            </w: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en-US" w:eastAsia="ru-RU"/>
              </w:rPr>
              <w:t>c</w:t>
            </w: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затяжне відновлення</w:t>
            </w: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val="en-US" w:eastAsia="ru-RU"/>
              </w:rPr>
              <w:t>d</w:t>
            </w:r>
          </w:p>
          <w:p w:rsidR="00147C40" w:rsidRPr="00FB16C5" w:rsidRDefault="00147C40" w:rsidP="00FB16C5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ru-RU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</w:rPr>
              <w:t>Гіпотермія</w:t>
            </w:r>
            <w:r w:rsidRPr="00FB16C5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  <w:lang w:val="en-US"/>
              </w:rPr>
              <w:t>e</w:t>
            </w:r>
          </w:p>
        </w:tc>
      </w:tr>
    </w:tbl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en-US" w:eastAsia="ru-RU"/>
        </w:rPr>
        <w:t>a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Атипова.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en-US" w:eastAsia="ru-RU"/>
        </w:rPr>
        <w:t>b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Транзиторний ефект, який спостерігався протягом перших 10 хвилин після ін’єкції атіпамезолу гідрохлориду.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en-US" w:eastAsia="ru-RU"/>
        </w:rPr>
        <w:t>c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ru-RU" w:eastAsia="ru-RU"/>
        </w:rPr>
        <w:t xml:space="preserve"> 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Рецидив.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en-US" w:eastAsia="ru-RU"/>
        </w:rPr>
        <w:t>d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Час відновлення може не скорочуватися після застосування атіпамезолу.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val="en-US" w:eastAsia="ru-RU"/>
        </w:rPr>
        <w:t>e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У котів за застосування </w:t>
      </w:r>
      <w:r w:rsidR="00377B69"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 низьких дозах 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для часткового усунення ефектів медетомідину або дексмедетомідину. Слід запобігати виникненню гіпотермії навіть після виходу тварини зі стану седації.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5.5. Особливості застереження при використанні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Після введення препарату слід забезпечити тварині перебування у тихому місці.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Під час відновлення тварина не повинна залишатися без нагляду.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</w:rPr>
        <w:t>У разі застосування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седативних засобів, відмінних від 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медетомідину та дексмедетомідину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, </w:t>
      </w:r>
      <w:r w:rsidRPr="00FB16C5">
        <w:rPr>
          <w:rFonts w:ascii="Times New Roman" w:hAnsi="Times New Roman"/>
          <w:color w:val="000000"/>
          <w:sz w:val="24"/>
          <w:szCs w:val="24"/>
        </w:rPr>
        <w:t>слід враховувати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, що вплив цих речовин може зберігатися і після застосування 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медетомідину або дексмедетомідину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.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Атіпамезол </w:t>
      </w:r>
      <w:r w:rsidRPr="00FB16C5">
        <w:rPr>
          <w:rFonts w:ascii="Times New Roman" w:hAnsi="Times New Roman"/>
          <w:color w:val="000000"/>
          <w:sz w:val="24"/>
          <w:szCs w:val="24"/>
        </w:rPr>
        <w:t>не нейтралізує</w:t>
      </w:r>
      <w:r w:rsidRPr="00FB16C5">
        <w:rPr>
          <w:color w:val="000000"/>
        </w:rPr>
        <w:t xml:space="preserve"> 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дію кетаміну, що може спричинити судоми у собак та викликати </w:t>
      </w:r>
      <w:r w:rsidR="00377B69" w:rsidRPr="00FB16C5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(спричинити) спазми (спазми чого – судин, кишечнику, шлунка, сечового міхура?) 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у котів. Не вводити атіпамезол протягом 30-40 хвилин після введення кетаміну.</w:t>
      </w:r>
      <w:r w:rsidRPr="00FB16C5">
        <w:rPr>
          <w:rFonts w:ascii="Times New Roman" w:eastAsia="Times New Roman" w:hAnsi="Times New Roman"/>
          <w:b/>
          <w:color w:val="000000"/>
          <w:sz w:val="24"/>
          <w:szCs w:val="24"/>
          <w:lang w:val="ru-RU" w:eastAsia="ru-RU"/>
        </w:rPr>
        <w:t xml:space="preserve">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5.6. Застосування в період вагітності, лактації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Безпечність препарату під час вагітності та лактації не підтверджена.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Застосування препарату не рекомендується в період  вагітності та лактації.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5.7. Взаємодія з іншими засобами та інші форми взаємодії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Не рекомендується одночасне введення атіпамезолу з іншими ветеринарними лікарськими засобами центральної дії, такими як діазепам, ацепромазин або опіати.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5.8. Дозування і спосіб застосування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Внутрішньом'язове  або підшкірне введення. </w:t>
      </w:r>
      <w:r w:rsidR="00377B69"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Ефект настає швидше після 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внутрішньом'язового введення. 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Веедення препарату можна повторити за необхідності. Атипамезол вводять через 15-60 хвилин після медетомідину або дексмедетомідину. Тварина повертається до нормального стану протягом 5-10 хвилин.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FB16C5">
        <w:rPr>
          <w:rStyle w:val="af"/>
          <w:rFonts w:ascii="Times New Roman" w:hAnsi="Times New Roman"/>
          <w:color w:val="000000"/>
          <w:sz w:val="24"/>
          <w:szCs w:val="24"/>
        </w:rPr>
        <w:t>Собаки:</w:t>
      </w:r>
      <w:r w:rsidRPr="00FB16C5">
        <w:rPr>
          <w:rFonts w:ascii="Times New Roman" w:hAnsi="Times New Roman"/>
          <w:color w:val="000000"/>
          <w:sz w:val="24"/>
          <w:szCs w:val="24"/>
        </w:rPr>
        <w:t xml:space="preserve"> Оптимальна доза атіпамезолу в мікрограмах на 1 кілограм маси тіла в 5 разів перевищує попередню дозу медетомідину або в 10 разів - дозу дексмедетомідину.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</w:rPr>
        <w:t xml:space="preserve">Доза Атіпаму в мілілітрах відповідає дозі медетомідину 1 мг/мл або дексмедетомідину 0,5 мг/мл. Доза Атіпаму в мілілітрах становить одну п’яту (1/5) об’єму дози дексмедетомідину 0,1 мг/мл. Якщо медетомідин або дексмедетомідин застосовували з буторфанолом або без нього як премедикацію перед анестезією </w:t>
      </w:r>
      <w:r w:rsidR="00377B69" w:rsidRPr="00FB16C5">
        <w:rPr>
          <w:rFonts w:ascii="Times New Roman" w:hAnsi="Times New Roman"/>
          <w:color w:val="000000"/>
          <w:sz w:val="24"/>
          <w:szCs w:val="24"/>
        </w:rPr>
        <w:t>тіопенталом-галотаном</w:t>
      </w:r>
      <w:r w:rsidRPr="00FB16C5">
        <w:rPr>
          <w:rFonts w:ascii="Times New Roman" w:hAnsi="Times New Roman"/>
          <w:color w:val="000000"/>
          <w:sz w:val="24"/>
          <w:szCs w:val="24"/>
        </w:rPr>
        <w:t xml:space="preserve"> у собак або як премедикацію перед анестезією пропофолом, препарат можна застосовувати у післяопераційний період для усунення ефектів медетомідину або дексмедетомідину та прискорення відновлення.</w:t>
      </w:r>
    </w:p>
    <w:p w:rsidR="00147C40" w:rsidRPr="00FB16C5" w:rsidRDefault="00147C40" w:rsidP="00147C40">
      <w:pPr>
        <w:pStyle w:val="af0"/>
        <w:spacing w:before="0" w:beforeAutospacing="0" w:after="0" w:afterAutospacing="0"/>
        <w:ind w:firstLine="708"/>
        <w:jc w:val="both"/>
        <w:rPr>
          <w:color w:val="000000"/>
        </w:rPr>
      </w:pPr>
      <w:r w:rsidRPr="00FB16C5">
        <w:rPr>
          <w:rStyle w:val="af"/>
          <w:color w:val="000000"/>
        </w:rPr>
        <w:lastRenderedPageBreak/>
        <w:t>Коти:</w:t>
      </w:r>
      <w:r w:rsidRPr="00FB16C5">
        <w:rPr>
          <w:color w:val="000000"/>
        </w:rPr>
        <w:t xml:space="preserve"> Оптимальна доза атіпамезолу в мікрограмах на 1 кілограм маси тіла у 2,5 рази перевищує попередню дозу медетомідину або в 5 разів - дозу дексмедетомідину.</w:t>
      </w:r>
    </w:p>
    <w:p w:rsidR="00147C40" w:rsidRPr="00FB16C5" w:rsidRDefault="00147C40" w:rsidP="00147C40">
      <w:pPr>
        <w:pStyle w:val="af0"/>
        <w:spacing w:before="0" w:beforeAutospacing="0" w:after="0" w:afterAutospacing="0"/>
        <w:ind w:firstLine="708"/>
        <w:jc w:val="both"/>
        <w:rPr>
          <w:color w:val="000000"/>
        </w:rPr>
      </w:pPr>
      <w:r w:rsidRPr="00FB16C5">
        <w:rPr>
          <w:color w:val="000000"/>
        </w:rPr>
        <w:t>Доза Атіпаму в мілілітрах становить половину дози медетомідину 1 мг/мл або дексмедетомідину 0,5 мг/мл та одну десяту (1/10) дози дексмедетомідину 0,1 мг/мл.</w:t>
      </w:r>
    </w:p>
    <w:p w:rsidR="00147C40" w:rsidRPr="00FB16C5" w:rsidRDefault="00147C40" w:rsidP="00147C40">
      <w:pPr>
        <w:pStyle w:val="af0"/>
        <w:spacing w:before="0" w:beforeAutospacing="0" w:after="0" w:afterAutospacing="0"/>
        <w:ind w:firstLine="708"/>
        <w:jc w:val="both"/>
        <w:rPr>
          <w:color w:val="000000"/>
        </w:rPr>
      </w:pPr>
    </w:p>
    <w:p w:rsidR="00147C40" w:rsidRPr="00FB16C5" w:rsidRDefault="00147C40" w:rsidP="00147C40">
      <w:pPr>
        <w:pStyle w:val="af0"/>
        <w:spacing w:before="0" w:beforeAutospacing="0" w:after="0" w:afterAutospacing="0"/>
        <w:ind w:firstLine="708"/>
        <w:jc w:val="both"/>
        <w:rPr>
          <w:color w:val="000000"/>
        </w:rPr>
      </w:pPr>
    </w:p>
    <w:p w:rsidR="00147C40" w:rsidRPr="00FB16C5" w:rsidRDefault="00147C40" w:rsidP="00147C40">
      <w:pPr>
        <w:pStyle w:val="af0"/>
        <w:spacing w:before="0" w:beforeAutospacing="0" w:after="0" w:afterAutospacing="0"/>
        <w:ind w:firstLine="708"/>
        <w:jc w:val="both"/>
        <w:rPr>
          <w:color w:val="000000"/>
        </w:rPr>
      </w:pPr>
      <w:r w:rsidRPr="00FB16C5">
        <w:rPr>
          <w:color w:val="000000"/>
        </w:rPr>
        <w:t>Собаки: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717"/>
        <w:gridCol w:w="2811"/>
        <w:gridCol w:w="2142"/>
      </w:tblGrid>
      <w:tr w:rsidR="00FB16C5" w:rsidRPr="00FB16C5" w:rsidTr="00FB16C5">
        <w:tc>
          <w:tcPr>
            <w:tcW w:w="2235" w:type="dxa"/>
            <w:shd w:val="clear" w:color="auto" w:fill="auto"/>
          </w:tcPr>
          <w:p w:rsidR="00147C40" w:rsidRPr="00FB16C5" w:rsidRDefault="00147C40" w:rsidP="00FB16C5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FB16C5">
              <w:rPr>
                <w:color w:val="000000"/>
              </w:rPr>
              <w:t>Доза медетомідину</w:t>
            </w:r>
          </w:p>
        </w:tc>
        <w:tc>
          <w:tcPr>
            <w:tcW w:w="2717" w:type="dxa"/>
            <w:shd w:val="clear" w:color="auto" w:fill="auto"/>
          </w:tcPr>
          <w:p w:rsidR="00147C40" w:rsidRPr="00FB16C5" w:rsidRDefault="00147C40" w:rsidP="00FB16C5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FB16C5">
              <w:rPr>
                <w:color w:val="000000"/>
              </w:rPr>
              <w:t>Доза дексмедетомідину 0,5 мг/мл</w:t>
            </w:r>
          </w:p>
        </w:tc>
        <w:tc>
          <w:tcPr>
            <w:tcW w:w="2811" w:type="dxa"/>
            <w:shd w:val="clear" w:color="auto" w:fill="auto"/>
          </w:tcPr>
          <w:p w:rsidR="00147C40" w:rsidRPr="00FB16C5" w:rsidRDefault="00147C40" w:rsidP="00FB16C5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FB16C5">
              <w:rPr>
                <w:color w:val="000000"/>
              </w:rPr>
              <w:t>Доза дексмедетомідину 0,1 мг/мл</w:t>
            </w:r>
          </w:p>
        </w:tc>
        <w:tc>
          <w:tcPr>
            <w:tcW w:w="2142" w:type="dxa"/>
            <w:shd w:val="clear" w:color="auto" w:fill="auto"/>
          </w:tcPr>
          <w:p w:rsidR="00147C40" w:rsidRPr="00FB16C5" w:rsidRDefault="00147C40" w:rsidP="00FB16C5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FB16C5">
              <w:rPr>
                <w:color w:val="000000"/>
              </w:rPr>
              <w:t>Доза Атіпаму</w:t>
            </w:r>
          </w:p>
        </w:tc>
      </w:tr>
      <w:tr w:rsidR="00FB16C5" w:rsidRPr="00FB16C5" w:rsidTr="00FB16C5">
        <w:tc>
          <w:tcPr>
            <w:tcW w:w="2235" w:type="dxa"/>
            <w:shd w:val="clear" w:color="auto" w:fill="auto"/>
          </w:tcPr>
          <w:p w:rsidR="00147C40" w:rsidRPr="00FB16C5" w:rsidRDefault="00147C40" w:rsidP="00FB16C5">
            <w:pPr>
              <w:pStyle w:val="af0"/>
              <w:spacing w:before="0" w:beforeAutospacing="0" w:after="0" w:afterAutospacing="0"/>
              <w:jc w:val="both"/>
              <w:rPr>
                <w:color w:val="000000"/>
              </w:rPr>
            </w:pPr>
            <w:r w:rsidRPr="00FB16C5">
              <w:rPr>
                <w:color w:val="000000"/>
              </w:rPr>
              <w:t xml:space="preserve">40 мкг/кг = </w:t>
            </w:r>
          </w:p>
          <w:p w:rsidR="00147C40" w:rsidRPr="00FB16C5" w:rsidRDefault="00147C40" w:rsidP="00FB16C5">
            <w:pPr>
              <w:pStyle w:val="af0"/>
              <w:spacing w:before="0" w:beforeAutospacing="0" w:after="0" w:afterAutospacing="0"/>
              <w:jc w:val="both"/>
              <w:rPr>
                <w:color w:val="000000"/>
              </w:rPr>
            </w:pPr>
            <w:r w:rsidRPr="00FB16C5">
              <w:rPr>
                <w:color w:val="000000"/>
              </w:rPr>
              <w:t>0,4 мл/10 кг</w:t>
            </w:r>
          </w:p>
        </w:tc>
        <w:tc>
          <w:tcPr>
            <w:tcW w:w="2717" w:type="dxa"/>
            <w:shd w:val="clear" w:color="auto" w:fill="auto"/>
          </w:tcPr>
          <w:p w:rsidR="00147C40" w:rsidRPr="00FB16C5" w:rsidRDefault="00147C40" w:rsidP="00FB16C5">
            <w:pPr>
              <w:pStyle w:val="af0"/>
              <w:spacing w:before="0" w:beforeAutospacing="0" w:after="0" w:afterAutospacing="0"/>
              <w:jc w:val="both"/>
              <w:rPr>
                <w:color w:val="000000"/>
              </w:rPr>
            </w:pPr>
            <w:r w:rsidRPr="00FB16C5">
              <w:rPr>
                <w:color w:val="000000"/>
              </w:rPr>
              <w:t>20 мкг/кг = 0,4 мл/10 кг</w:t>
            </w:r>
          </w:p>
        </w:tc>
        <w:tc>
          <w:tcPr>
            <w:tcW w:w="2811" w:type="dxa"/>
            <w:shd w:val="clear" w:color="auto" w:fill="auto"/>
          </w:tcPr>
          <w:p w:rsidR="00147C40" w:rsidRPr="00FB16C5" w:rsidRDefault="00147C40" w:rsidP="00FB16C5">
            <w:pPr>
              <w:pStyle w:val="af0"/>
              <w:spacing w:before="0" w:beforeAutospacing="0" w:after="0" w:afterAutospacing="0"/>
              <w:jc w:val="both"/>
              <w:rPr>
                <w:color w:val="000000"/>
              </w:rPr>
            </w:pPr>
            <w:r w:rsidRPr="00FB16C5">
              <w:rPr>
                <w:color w:val="000000"/>
              </w:rPr>
              <w:t>20 мкг/кг = 2,0 мл/10 кг</w:t>
            </w:r>
          </w:p>
        </w:tc>
        <w:tc>
          <w:tcPr>
            <w:tcW w:w="2142" w:type="dxa"/>
            <w:shd w:val="clear" w:color="auto" w:fill="auto"/>
          </w:tcPr>
          <w:p w:rsidR="00147C40" w:rsidRPr="00FB16C5" w:rsidRDefault="00147C40" w:rsidP="00FB16C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200 мкг/кг = </w:t>
            </w:r>
          </w:p>
          <w:p w:rsidR="00147C40" w:rsidRPr="00FB16C5" w:rsidRDefault="00147C40" w:rsidP="00FB16C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</w:rPr>
              <w:t>0,4 мл/10 кг</w:t>
            </w:r>
          </w:p>
          <w:p w:rsidR="00147C40" w:rsidRPr="00FB16C5" w:rsidRDefault="00147C40" w:rsidP="00FB16C5">
            <w:pPr>
              <w:pStyle w:val="af0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</w:tr>
    </w:tbl>
    <w:p w:rsidR="00147C40" w:rsidRPr="00FB16C5" w:rsidRDefault="00147C40" w:rsidP="00147C40">
      <w:pPr>
        <w:pStyle w:val="af0"/>
        <w:spacing w:before="0" w:beforeAutospacing="0" w:after="0" w:afterAutospacing="0"/>
        <w:ind w:firstLine="708"/>
        <w:jc w:val="both"/>
        <w:rPr>
          <w:color w:val="000000"/>
        </w:rPr>
      </w:pPr>
    </w:p>
    <w:p w:rsidR="00147C40" w:rsidRPr="00FB16C5" w:rsidRDefault="00147C40" w:rsidP="00147C40">
      <w:pPr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</w:rPr>
        <w:t xml:space="preserve">Коти: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717"/>
        <w:gridCol w:w="2811"/>
        <w:gridCol w:w="2142"/>
      </w:tblGrid>
      <w:tr w:rsidR="00FB16C5" w:rsidRPr="00FB16C5" w:rsidTr="00FB16C5">
        <w:tc>
          <w:tcPr>
            <w:tcW w:w="2235" w:type="dxa"/>
            <w:shd w:val="clear" w:color="auto" w:fill="auto"/>
          </w:tcPr>
          <w:p w:rsidR="00147C40" w:rsidRPr="00FB16C5" w:rsidRDefault="00147C40" w:rsidP="00FB16C5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FB16C5">
              <w:rPr>
                <w:color w:val="000000"/>
              </w:rPr>
              <w:t>Доза медетомідину</w:t>
            </w:r>
          </w:p>
        </w:tc>
        <w:tc>
          <w:tcPr>
            <w:tcW w:w="2717" w:type="dxa"/>
            <w:shd w:val="clear" w:color="auto" w:fill="auto"/>
          </w:tcPr>
          <w:p w:rsidR="00147C40" w:rsidRPr="00FB16C5" w:rsidRDefault="00147C40" w:rsidP="00FB16C5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FB16C5">
              <w:rPr>
                <w:color w:val="000000"/>
              </w:rPr>
              <w:t>Доза дексмедетомідину 0,5 мг/мл</w:t>
            </w:r>
          </w:p>
        </w:tc>
        <w:tc>
          <w:tcPr>
            <w:tcW w:w="2811" w:type="dxa"/>
            <w:shd w:val="clear" w:color="auto" w:fill="auto"/>
          </w:tcPr>
          <w:p w:rsidR="00147C40" w:rsidRPr="00FB16C5" w:rsidRDefault="00147C40" w:rsidP="00FB16C5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FB16C5">
              <w:rPr>
                <w:color w:val="000000"/>
              </w:rPr>
              <w:t>Доза дексмедетомідину 0,1 мг/мл</w:t>
            </w:r>
          </w:p>
        </w:tc>
        <w:tc>
          <w:tcPr>
            <w:tcW w:w="2142" w:type="dxa"/>
            <w:shd w:val="clear" w:color="auto" w:fill="auto"/>
          </w:tcPr>
          <w:p w:rsidR="00147C40" w:rsidRPr="00FB16C5" w:rsidRDefault="00147C40" w:rsidP="00FB16C5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FB16C5">
              <w:rPr>
                <w:color w:val="000000"/>
              </w:rPr>
              <w:t>Доза Атіпаму</w:t>
            </w:r>
          </w:p>
        </w:tc>
      </w:tr>
      <w:tr w:rsidR="00FB16C5" w:rsidRPr="00FB16C5" w:rsidTr="00FB16C5">
        <w:tc>
          <w:tcPr>
            <w:tcW w:w="2235" w:type="dxa"/>
            <w:shd w:val="clear" w:color="auto" w:fill="auto"/>
          </w:tcPr>
          <w:p w:rsidR="00147C40" w:rsidRPr="00FB16C5" w:rsidRDefault="00147C40" w:rsidP="003448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80 мкг/кг = </w:t>
            </w:r>
          </w:p>
          <w:p w:rsidR="00147C40" w:rsidRPr="00FB16C5" w:rsidRDefault="00147C40" w:rsidP="003448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0,4 мл/5 кг</w:t>
            </w:r>
          </w:p>
        </w:tc>
        <w:tc>
          <w:tcPr>
            <w:tcW w:w="2717" w:type="dxa"/>
            <w:shd w:val="clear" w:color="auto" w:fill="auto"/>
          </w:tcPr>
          <w:p w:rsidR="00147C40" w:rsidRPr="00FB16C5" w:rsidRDefault="00147C40" w:rsidP="003448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 мкг/кг = 0,4 мл/5 кг</w:t>
            </w:r>
          </w:p>
        </w:tc>
        <w:tc>
          <w:tcPr>
            <w:tcW w:w="2811" w:type="dxa"/>
            <w:shd w:val="clear" w:color="auto" w:fill="auto"/>
          </w:tcPr>
          <w:p w:rsidR="00147C40" w:rsidRPr="00FB16C5" w:rsidRDefault="00147C40" w:rsidP="003448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40 мкг/кг = 1,0 мл/3 кг*</w:t>
            </w:r>
          </w:p>
        </w:tc>
        <w:tc>
          <w:tcPr>
            <w:tcW w:w="2142" w:type="dxa"/>
            <w:shd w:val="clear" w:color="auto" w:fill="auto"/>
          </w:tcPr>
          <w:p w:rsidR="00147C40" w:rsidRPr="00FB16C5" w:rsidRDefault="00147C40" w:rsidP="003448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200 мкг/кг = </w:t>
            </w:r>
          </w:p>
          <w:p w:rsidR="00147C40" w:rsidRPr="00FB16C5" w:rsidRDefault="00147C40" w:rsidP="003448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0,2 мл/5 кг; </w:t>
            </w:r>
          </w:p>
          <w:p w:rsidR="00147C40" w:rsidRPr="00FB16C5" w:rsidRDefault="00147C40" w:rsidP="0034481F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B16C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0,1 мл/3 кг</w:t>
            </w:r>
          </w:p>
        </w:tc>
      </w:tr>
    </w:tbl>
    <w:p w:rsidR="00147C40" w:rsidRPr="00FB16C5" w:rsidRDefault="00147C40" w:rsidP="00147C40">
      <w:pPr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</w:rPr>
        <w:t>* Для котів масою понад 3 кг рекомендується застосовувати дексмедетомідин 0,5 мг/мл.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</w:rPr>
        <w:t>Доза в мікрограмах на 1 кілограм маси тіла не повинна перевищувати чотириразову дозу раніше введеного медетомідину або восьмиразову дозу дексмедетомідину.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</w:rPr>
        <w:t>Атіпам також можна застосовувати для пробудження, коли тварині для анестезії вводили комбінацію медетомідину з кетаміном або комбінацію дексмедетомідину з кетаміном. Доза препарату тоді така ж, як і при пробудженні лише від седації. Ін'єкцію Атіпаму можна вводити не раніше, ніж через 30-40 хвилин після ін'єкції кетаміну.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5.9. Передозування (симптоми, невідкладні заходи, антидоти)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Передозування атіпамезолом гідрохлоридом може призвести до тимчасової тахікардії та надмірної чутливості (гіперактивність, м’язовий тремор). За необхідності, ці симптоми можна </w:t>
      </w:r>
      <w:r w:rsidR="00377B69"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усунути</w:t>
      </w: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застосувавши дозу медетомідину гідрохлориду, що є нижчою від звичайної клінічної дози.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У випадку, якщо атіпамезолу гідрохлорид випадково ввели тварині, якій перед цим не застосовували медетомідин або дексмедетомідин, то у тварини може виникнути гіперактивність та м’язовий тремор. Ці симптоми можуть спостерігатися приблизно 15 хвилин.   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5.10 Спеціальні застереження</w:t>
      </w:r>
    </w:p>
    <w:p w:rsidR="00147C40" w:rsidRPr="00FB16C5" w:rsidRDefault="00147C40" w:rsidP="00147C40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Слід переконатися, що у тварин відновився нормальний рефлекс ковтання перед тим, як давати корм або воду.</w:t>
      </w:r>
    </w:p>
    <w:p w:rsidR="00D243EC" w:rsidRPr="00FB16C5" w:rsidRDefault="00D243EC" w:rsidP="00147C40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>5.11. Період виведення (каренції)</w:t>
      </w:r>
    </w:p>
    <w:p w:rsidR="00137967" w:rsidRPr="00FB16C5" w:rsidRDefault="00137967" w:rsidP="00137967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>Для непродуктивних тварин не застосовується</w:t>
      </w:r>
    </w:p>
    <w:p w:rsidR="00D243EC" w:rsidRPr="00FB16C5" w:rsidRDefault="00D243EC" w:rsidP="00C20BA1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val="ru-RU" w:eastAsia="ru-RU"/>
        </w:rPr>
        <w:t>5.12. Особливості застереження персоналу, який застосовує ветеринарний лікарський  препарат тваринам.</w:t>
      </w:r>
    </w:p>
    <w:p w:rsidR="00D243EC" w:rsidRPr="00FB16C5" w:rsidRDefault="00D243EC" w:rsidP="00F62E4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val="ru-RU" w:eastAsia="ru-RU"/>
        </w:rPr>
        <w:lastRenderedPageBreak/>
        <w:t xml:space="preserve">Слід уникати контакту зі шкірою, очима та слизовими оболонками через сильну фармакологічну активність атіпамезолу. За випадкового контакту препарату зі шкірою або очима, слід ретельно їх промити чистою водою. У випадку виникнення алергічних реакцій, слід звернутися до лікаря, перед тим знявши забруднений одяг, який безпосередньо контактує зі шкірою. Слід уникати випадкового проковтування або введення препарату. У разі випадкового проковтування або введенні, негайно зверніться за медичною допомогою та покажіть лікарю листівку-вкладку! </w:t>
      </w:r>
    </w:p>
    <w:p w:rsidR="00D243EC" w:rsidRPr="00FB16C5" w:rsidRDefault="00D243EC" w:rsidP="00C20BA1">
      <w:pPr>
        <w:spacing w:after="0" w:line="240" w:lineRule="auto"/>
        <w:ind w:firstLine="708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>6. Фармацевтичні особливості</w:t>
      </w:r>
    </w:p>
    <w:p w:rsidR="00D243EC" w:rsidRPr="00FB16C5" w:rsidRDefault="00D243EC" w:rsidP="00C20BA1">
      <w:pPr>
        <w:spacing w:after="0" w:line="240" w:lineRule="auto"/>
        <w:ind w:firstLine="708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>6.1. Основні форми несумісності</w:t>
      </w:r>
    </w:p>
    <w:p w:rsidR="00D243EC" w:rsidRPr="00FB16C5" w:rsidRDefault="00D243EC" w:rsidP="00F62E4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>За відсутності досліджень на сумісність, цей ветеринарний препарат не змішувати з іншими ветеринарними препаратами в одному шприці.</w:t>
      </w:r>
    </w:p>
    <w:p w:rsidR="00D243EC" w:rsidRPr="00FB16C5" w:rsidRDefault="00D243EC" w:rsidP="00C20BA1">
      <w:pPr>
        <w:spacing w:after="0" w:line="240" w:lineRule="auto"/>
        <w:ind w:firstLine="708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>6.2. Термін придатності</w:t>
      </w:r>
    </w:p>
    <w:p w:rsidR="00D243EC" w:rsidRPr="00FB16C5" w:rsidRDefault="00D243EC" w:rsidP="00F62E4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>Термін придатності ветеринарного препарату - 3 роки.</w:t>
      </w:r>
    </w:p>
    <w:p w:rsidR="00D243EC" w:rsidRPr="00FB16C5" w:rsidRDefault="00D243EC" w:rsidP="00F62E4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Термін придатності після першого відбору із флакону - 28 діб. </w:t>
      </w:r>
    </w:p>
    <w:p w:rsidR="00D243EC" w:rsidRPr="00FB16C5" w:rsidRDefault="00D243EC" w:rsidP="00C20BA1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>6.3. Особливі застереження щодо зберігання</w:t>
      </w:r>
    </w:p>
    <w:p w:rsidR="00D243EC" w:rsidRPr="00FB16C5" w:rsidRDefault="00D243EC" w:rsidP="00F62E4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Зберігати флакон у картонній коробці, недоступному для дітей місці при температурі від 5 до 25 ºС. </w:t>
      </w:r>
    </w:p>
    <w:p w:rsidR="00D243EC" w:rsidRPr="00FB16C5" w:rsidRDefault="00D243EC" w:rsidP="00C20BA1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6.4. Природа і склад контейнера первинного упакування </w:t>
      </w:r>
    </w:p>
    <w:p w:rsidR="00D243EC" w:rsidRPr="00FB16C5" w:rsidRDefault="00D243EC" w:rsidP="00F62E4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Скляні прозорі флакони типу I (Ph. Eur.) у картонних коробках по 1 шт., об’ємом  5, 10 або 20 мл, закриті галогенізованими гумовими пробками з тефлоновими покриттями та алюмінієвими кришками.   </w:t>
      </w:r>
    </w:p>
    <w:p w:rsidR="00D243EC" w:rsidRPr="00FB16C5" w:rsidRDefault="00D243EC" w:rsidP="00C20BA1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lang w:eastAsia="ru-RU"/>
        </w:rPr>
        <w:tab/>
      </w: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>6.5. Особливі заходи безпеки при поводженні з невикористаним продуктом</w:t>
      </w:r>
    </w:p>
    <w:p w:rsidR="00D243EC" w:rsidRPr="00FB16C5" w:rsidRDefault="00D243EC" w:rsidP="00C20BA1">
      <w:pPr>
        <w:spacing w:after="0" w:line="240" w:lineRule="auto"/>
        <w:ind w:firstLine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ab/>
      </w: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Залишки невикористаного продукту, флакони знешкоджують відповідно до вимог законодавства України.  </w:t>
      </w:r>
    </w:p>
    <w:p w:rsidR="00D243EC" w:rsidRPr="00FB16C5" w:rsidRDefault="00D243EC" w:rsidP="00C20BA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>7. Назва та місцезнаходження власника реєстраційного посвідчення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955"/>
        <w:gridCol w:w="4950"/>
      </w:tblGrid>
      <w:tr w:rsidR="00137967" w:rsidRPr="00FB16C5" w:rsidTr="008F14B6">
        <w:tc>
          <w:tcPr>
            <w:tcW w:w="5267" w:type="dxa"/>
          </w:tcPr>
          <w:p w:rsidR="00D243EC" w:rsidRPr="00FB16C5" w:rsidRDefault="00D243EC" w:rsidP="00F62E4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Євровет Енімал Хелс Б.В.</w:t>
            </w:r>
          </w:p>
          <w:p w:rsidR="00D243EC" w:rsidRPr="00FB16C5" w:rsidRDefault="00D243EC" w:rsidP="00F62E4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Хенделшвег 25, По 179, 5530 Ад Бладель</w:t>
            </w:r>
          </w:p>
          <w:p w:rsidR="00D243EC" w:rsidRPr="00FB16C5" w:rsidRDefault="00D243EC" w:rsidP="00F62E4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Нідерланди</w:t>
            </w:r>
          </w:p>
        </w:tc>
        <w:tc>
          <w:tcPr>
            <w:tcW w:w="5267" w:type="dxa"/>
          </w:tcPr>
          <w:p w:rsidR="00D243EC" w:rsidRPr="00FB16C5" w:rsidRDefault="00D243EC" w:rsidP="00F62E4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Eurovet Animal Health B.V.</w:t>
            </w:r>
          </w:p>
          <w:p w:rsidR="00D243EC" w:rsidRPr="00FB16C5" w:rsidRDefault="00D243EC" w:rsidP="00F62E4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Handelsweg 25, PO Box 179, 5530 AD Bladel</w:t>
            </w:r>
          </w:p>
          <w:p w:rsidR="00D243EC" w:rsidRPr="00FB16C5" w:rsidRDefault="00D243EC" w:rsidP="00F62E4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The Netherlands</w:t>
            </w:r>
          </w:p>
        </w:tc>
      </w:tr>
    </w:tbl>
    <w:p w:rsidR="00D243EC" w:rsidRPr="00FB16C5" w:rsidRDefault="00D243EC" w:rsidP="00C20BA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ab/>
      </w: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>8. Назва та місцезнаходження виробника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955"/>
        <w:gridCol w:w="4950"/>
      </w:tblGrid>
      <w:tr w:rsidR="00137967" w:rsidRPr="00FB16C5" w:rsidTr="008F14B6">
        <w:tc>
          <w:tcPr>
            <w:tcW w:w="5267" w:type="dxa"/>
          </w:tcPr>
          <w:p w:rsidR="00D243EC" w:rsidRPr="00FB16C5" w:rsidRDefault="00D243EC" w:rsidP="00F62E4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Євровет Енімал Хелс Б.В.</w:t>
            </w:r>
          </w:p>
          <w:p w:rsidR="00D243EC" w:rsidRPr="00FB16C5" w:rsidRDefault="00D243EC" w:rsidP="00F62E4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Хенделшвег 25</w:t>
            </w:r>
            <w:bookmarkStart w:id="0" w:name="_GoBack"/>
            <w:bookmarkEnd w:id="0"/>
            <w:r w:rsidRPr="00FB16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По 179, 5530 Ад Бладель</w:t>
            </w:r>
          </w:p>
          <w:p w:rsidR="00D243EC" w:rsidRPr="00FB16C5" w:rsidRDefault="00D243EC" w:rsidP="00F62E4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Нідерланди</w:t>
            </w:r>
          </w:p>
        </w:tc>
        <w:tc>
          <w:tcPr>
            <w:tcW w:w="5267" w:type="dxa"/>
          </w:tcPr>
          <w:p w:rsidR="00D243EC" w:rsidRPr="00FB16C5" w:rsidRDefault="00D243EC" w:rsidP="00F62E4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Eurovet Animal Health B.V.</w:t>
            </w:r>
          </w:p>
          <w:p w:rsidR="00D243EC" w:rsidRPr="00FB16C5" w:rsidRDefault="00D243EC" w:rsidP="00F62E4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Handelsweg 25, PO Box 179, 5530 AD Bladel</w:t>
            </w:r>
          </w:p>
          <w:p w:rsidR="00D243EC" w:rsidRPr="00FB16C5" w:rsidRDefault="00D243EC" w:rsidP="00F62E4C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B16C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The Netherlands</w:t>
            </w:r>
          </w:p>
        </w:tc>
      </w:tr>
    </w:tbl>
    <w:p w:rsidR="00D243EC" w:rsidRPr="00FB16C5" w:rsidRDefault="00D243EC" w:rsidP="00C20BA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b/>
          <w:color w:val="000000"/>
          <w:sz w:val="24"/>
          <w:szCs w:val="24"/>
          <w:lang w:eastAsia="ru-RU"/>
        </w:rPr>
        <w:t>9. Додаткова інформація</w:t>
      </w:r>
    </w:p>
    <w:p w:rsidR="00D243EC" w:rsidRPr="00FB16C5" w:rsidRDefault="00D243EC" w:rsidP="00F62E4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FB16C5">
        <w:rPr>
          <w:rFonts w:ascii="Times New Roman" w:hAnsi="Times New Roman"/>
          <w:color w:val="000000"/>
          <w:sz w:val="24"/>
          <w:szCs w:val="24"/>
          <w:lang w:eastAsia="ru-RU"/>
        </w:rPr>
        <w:t>Рекомендовано відпуск препарату за рецептом.</w:t>
      </w:r>
    </w:p>
    <w:p w:rsidR="00D243EC" w:rsidRPr="00FB16C5" w:rsidRDefault="00D243EC" w:rsidP="00F62E4C">
      <w:pPr>
        <w:rPr>
          <w:rFonts w:ascii="Times New Roman" w:hAnsi="Times New Roman"/>
          <w:color w:val="000000"/>
          <w:sz w:val="24"/>
          <w:szCs w:val="24"/>
        </w:rPr>
      </w:pPr>
    </w:p>
    <w:p w:rsidR="00D243EC" w:rsidRPr="00FB16C5" w:rsidRDefault="00D243EC">
      <w:pPr>
        <w:rPr>
          <w:color w:val="000000"/>
        </w:rPr>
      </w:pPr>
    </w:p>
    <w:sectPr w:rsidR="00D243EC" w:rsidRPr="00FB16C5" w:rsidSect="008F14B6">
      <w:headerReference w:type="default" r:id="rId6"/>
      <w:pgSz w:w="12240" w:h="15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6C5" w:rsidRDefault="00FB16C5" w:rsidP="008835E5">
      <w:pPr>
        <w:spacing w:after="0" w:line="240" w:lineRule="auto"/>
      </w:pPr>
      <w:r>
        <w:separator/>
      </w:r>
    </w:p>
  </w:endnote>
  <w:endnote w:type="continuationSeparator" w:id="0">
    <w:p w:rsidR="00FB16C5" w:rsidRDefault="00FB16C5" w:rsidP="00883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6C5" w:rsidRDefault="00FB16C5" w:rsidP="008835E5">
      <w:pPr>
        <w:spacing w:after="0" w:line="240" w:lineRule="auto"/>
      </w:pPr>
      <w:r>
        <w:separator/>
      </w:r>
    </w:p>
  </w:footnote>
  <w:footnote w:type="continuationSeparator" w:id="0">
    <w:p w:rsidR="00FB16C5" w:rsidRDefault="00FB16C5" w:rsidP="00883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43EC" w:rsidRDefault="00D243EC" w:rsidP="008835E5">
    <w:pPr>
      <w:pStyle w:val="a3"/>
      <w:jc w:val="right"/>
    </w:pPr>
    <w:r>
      <w:t xml:space="preserve">Додаток 1 </w:t>
    </w:r>
  </w:p>
  <w:p w:rsidR="00D243EC" w:rsidRDefault="00D243EC" w:rsidP="008835E5">
    <w:pPr>
      <w:pStyle w:val="a3"/>
      <w:jc w:val="right"/>
    </w:pPr>
    <w:r>
      <w:t>до реєстраційного посвідчення АА-09374-0120</w:t>
    </w:r>
  </w:p>
  <w:p w:rsidR="00D243EC" w:rsidRDefault="00D243E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2E4C"/>
    <w:rsid w:val="00006572"/>
    <w:rsid w:val="00010AC1"/>
    <w:rsid w:val="00054C4E"/>
    <w:rsid w:val="00075C75"/>
    <w:rsid w:val="00133902"/>
    <w:rsid w:val="00137967"/>
    <w:rsid w:val="00147C40"/>
    <w:rsid w:val="001B1550"/>
    <w:rsid w:val="001E582D"/>
    <w:rsid w:val="00377B69"/>
    <w:rsid w:val="003F38DB"/>
    <w:rsid w:val="0040722C"/>
    <w:rsid w:val="004228E9"/>
    <w:rsid w:val="00463AB5"/>
    <w:rsid w:val="0047472A"/>
    <w:rsid w:val="006819E5"/>
    <w:rsid w:val="0070326A"/>
    <w:rsid w:val="0080041C"/>
    <w:rsid w:val="0087542D"/>
    <w:rsid w:val="00876E9D"/>
    <w:rsid w:val="008835E5"/>
    <w:rsid w:val="008D7EF0"/>
    <w:rsid w:val="008F14B6"/>
    <w:rsid w:val="008F4D27"/>
    <w:rsid w:val="009154CB"/>
    <w:rsid w:val="009742AD"/>
    <w:rsid w:val="009A6746"/>
    <w:rsid w:val="00A6429A"/>
    <w:rsid w:val="00A86D10"/>
    <w:rsid w:val="00BD367F"/>
    <w:rsid w:val="00BE7843"/>
    <w:rsid w:val="00C10FEF"/>
    <w:rsid w:val="00C16CF7"/>
    <w:rsid w:val="00C20BA1"/>
    <w:rsid w:val="00C34AD9"/>
    <w:rsid w:val="00C80D5E"/>
    <w:rsid w:val="00CC19B0"/>
    <w:rsid w:val="00CD5678"/>
    <w:rsid w:val="00D243EC"/>
    <w:rsid w:val="00D40762"/>
    <w:rsid w:val="00E6059F"/>
    <w:rsid w:val="00E94022"/>
    <w:rsid w:val="00EA50D7"/>
    <w:rsid w:val="00F62E4C"/>
    <w:rsid w:val="00FB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902D5B7-C968-44AE-9059-1E7C2DD36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29A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835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link w:val="a3"/>
    <w:uiPriority w:val="99"/>
    <w:locked/>
    <w:rsid w:val="008835E5"/>
    <w:rPr>
      <w:rFonts w:cs="Times New Roman"/>
    </w:rPr>
  </w:style>
  <w:style w:type="paragraph" w:styleId="a5">
    <w:name w:val="footer"/>
    <w:basedOn w:val="a"/>
    <w:link w:val="a6"/>
    <w:uiPriority w:val="99"/>
    <w:rsid w:val="008835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link w:val="a5"/>
    <w:uiPriority w:val="99"/>
    <w:locked/>
    <w:rsid w:val="008835E5"/>
    <w:rPr>
      <w:rFonts w:cs="Times New Roman"/>
    </w:rPr>
  </w:style>
  <w:style w:type="table" w:styleId="a7">
    <w:name w:val="Table Grid"/>
    <w:basedOn w:val="a1"/>
    <w:uiPriority w:val="99"/>
    <w:rsid w:val="007032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uiPriority w:val="99"/>
    <w:semiHidden/>
    <w:rsid w:val="001E582D"/>
    <w:rPr>
      <w:rFonts w:cs="Times New Roman"/>
      <w:sz w:val="16"/>
    </w:rPr>
  </w:style>
  <w:style w:type="paragraph" w:styleId="a9">
    <w:name w:val="annotation text"/>
    <w:basedOn w:val="a"/>
    <w:link w:val="aa"/>
    <w:uiPriority w:val="99"/>
    <w:semiHidden/>
    <w:rsid w:val="001E582D"/>
    <w:pPr>
      <w:spacing w:line="240" w:lineRule="auto"/>
    </w:pPr>
    <w:rPr>
      <w:sz w:val="20"/>
      <w:szCs w:val="20"/>
    </w:rPr>
  </w:style>
  <w:style w:type="character" w:customStyle="1" w:styleId="aa">
    <w:name w:val="Текст примітки Знак"/>
    <w:link w:val="a9"/>
    <w:uiPriority w:val="99"/>
    <w:semiHidden/>
    <w:locked/>
    <w:rsid w:val="001E582D"/>
    <w:rPr>
      <w:sz w:val="20"/>
    </w:rPr>
  </w:style>
  <w:style w:type="paragraph" w:styleId="ab">
    <w:name w:val="annotation subject"/>
    <w:basedOn w:val="a9"/>
    <w:next w:val="a9"/>
    <w:link w:val="ac"/>
    <w:uiPriority w:val="99"/>
    <w:semiHidden/>
    <w:rsid w:val="001E582D"/>
    <w:rPr>
      <w:b/>
      <w:bCs/>
    </w:rPr>
  </w:style>
  <w:style w:type="character" w:customStyle="1" w:styleId="ac">
    <w:name w:val="Тема примітки Знак"/>
    <w:link w:val="ab"/>
    <w:uiPriority w:val="99"/>
    <w:semiHidden/>
    <w:locked/>
    <w:rsid w:val="001E582D"/>
    <w:rPr>
      <w:b/>
      <w:sz w:val="20"/>
    </w:rPr>
  </w:style>
  <w:style w:type="paragraph" w:styleId="ad">
    <w:name w:val="Balloon Text"/>
    <w:basedOn w:val="a"/>
    <w:link w:val="ae"/>
    <w:uiPriority w:val="99"/>
    <w:semiHidden/>
    <w:rsid w:val="001E5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у виносці Знак"/>
    <w:link w:val="ad"/>
    <w:uiPriority w:val="99"/>
    <w:semiHidden/>
    <w:locked/>
    <w:rsid w:val="001E582D"/>
    <w:rPr>
      <w:rFonts w:ascii="Tahoma" w:hAnsi="Tahoma"/>
      <w:sz w:val="16"/>
    </w:rPr>
  </w:style>
  <w:style w:type="paragraph" w:customStyle="1" w:styleId="pdq2pgselectionanchorcontainer">
    <w:name w:val="pdq2pg_selectionanchorcontainer"/>
    <w:basedOn w:val="a"/>
    <w:uiPriority w:val="99"/>
    <w:rsid w:val="00010A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f">
    <w:name w:val="Strong"/>
    <w:uiPriority w:val="99"/>
    <w:qFormat/>
    <w:rsid w:val="00010AC1"/>
    <w:rPr>
      <w:rFonts w:cs="Times New Roman"/>
      <w:b/>
    </w:rPr>
  </w:style>
  <w:style w:type="paragraph" w:styleId="af0">
    <w:name w:val="Normal (Web)"/>
    <w:basedOn w:val="a"/>
    <w:uiPriority w:val="99"/>
    <w:semiHidden/>
    <w:rsid w:val="00010AC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500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0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4</Pages>
  <Words>5904</Words>
  <Characters>3366</Characters>
  <Application>Microsoft Office Word</Application>
  <DocSecurity>0</DocSecurity>
  <Lines>28</Lines>
  <Paragraphs>18</Paragraphs>
  <ScaleCrop>false</ScaleCrop>
  <Company>diakov.net</Company>
  <LinksUpToDate>false</LinksUpToDate>
  <CharactersWithSpaces>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Пушок Сніжана</dc:creator>
  <cp:keywords/>
  <dc:description/>
  <cp:lastModifiedBy>admin</cp:lastModifiedBy>
  <cp:revision>28</cp:revision>
  <dcterms:created xsi:type="dcterms:W3CDTF">2026-08-14T07:02:00Z</dcterms:created>
  <dcterms:modified xsi:type="dcterms:W3CDTF">2026-09-18T13:23:00Z</dcterms:modified>
</cp:coreProperties>
</file>