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D9A" w:rsidRPr="00887B9C" w:rsidRDefault="007E1D9A" w:rsidP="00F05720">
      <w:pPr>
        <w:pStyle w:val="1"/>
        <w:spacing w:before="0" w:after="0"/>
        <w:ind w:firstLine="567"/>
        <w:jc w:val="right"/>
        <w:rPr>
          <w:rFonts w:ascii="Times New Roman" w:hAnsi="Times New Roman"/>
          <w:b w:val="0"/>
          <w:sz w:val="24"/>
          <w:szCs w:val="24"/>
        </w:rPr>
      </w:pPr>
      <w:bookmarkStart w:id="0" w:name="_GoBack"/>
      <w:r w:rsidRPr="00887B9C">
        <w:rPr>
          <w:rFonts w:ascii="Times New Roman" w:hAnsi="Times New Roman"/>
          <w:b w:val="0"/>
          <w:sz w:val="24"/>
          <w:szCs w:val="24"/>
        </w:rPr>
        <w:t xml:space="preserve">Додаток </w:t>
      </w:r>
      <w:r w:rsidR="00F05720" w:rsidRPr="00887B9C">
        <w:rPr>
          <w:rFonts w:ascii="Times New Roman" w:hAnsi="Times New Roman"/>
          <w:b w:val="0"/>
          <w:sz w:val="24"/>
          <w:szCs w:val="24"/>
        </w:rPr>
        <w:t>1</w:t>
      </w:r>
    </w:p>
    <w:p w:rsidR="007E1D9A" w:rsidRPr="00887B9C" w:rsidRDefault="007E1D9A" w:rsidP="00F057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87B9C">
        <w:rPr>
          <w:rFonts w:ascii="Times New Roman" w:hAnsi="Times New Roman" w:cs="Times New Roman"/>
          <w:sz w:val="24"/>
          <w:szCs w:val="24"/>
        </w:rPr>
        <w:t>до реєстраційного посвідчення</w:t>
      </w:r>
    </w:p>
    <w:p w:rsidR="00F05720" w:rsidRPr="00887B9C" w:rsidRDefault="00F05720" w:rsidP="00F05720">
      <w:pPr>
        <w:pStyle w:val="1"/>
        <w:spacing w:before="0" w:after="0"/>
        <w:ind w:firstLine="709"/>
        <w:jc w:val="center"/>
        <w:rPr>
          <w:rFonts w:ascii="Times New Roman" w:hAnsi="Times New Roman"/>
          <w:sz w:val="24"/>
          <w:szCs w:val="24"/>
        </w:rPr>
      </w:pPr>
      <w:r w:rsidRPr="00887B9C">
        <w:rPr>
          <w:rFonts w:ascii="Times New Roman" w:hAnsi="Times New Roman"/>
          <w:sz w:val="24"/>
          <w:szCs w:val="24"/>
        </w:rPr>
        <w:t>Коротка характеристика препарату</w:t>
      </w:r>
    </w:p>
    <w:p w:rsidR="00F05720" w:rsidRPr="00887B9C" w:rsidRDefault="00F05720" w:rsidP="008F22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5720" w:rsidRPr="00887B9C" w:rsidRDefault="00F05720" w:rsidP="008F225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7B9C">
        <w:rPr>
          <w:rFonts w:ascii="Times New Roman" w:hAnsi="Times New Roman" w:cs="Times New Roman"/>
          <w:b/>
          <w:sz w:val="24"/>
          <w:szCs w:val="24"/>
        </w:rPr>
        <w:t>1. Назва</w:t>
      </w:r>
    </w:p>
    <w:p w:rsidR="00F05720" w:rsidRPr="00887B9C" w:rsidRDefault="00BA4DF0" w:rsidP="008F22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7B9C">
        <w:rPr>
          <w:rFonts w:ascii="Times New Roman" w:hAnsi="Times New Roman" w:cs="Times New Roman"/>
          <w:sz w:val="24"/>
          <w:szCs w:val="24"/>
        </w:rPr>
        <w:t>Гістеродев</w:t>
      </w:r>
      <w:proofErr w:type="spellEnd"/>
      <w:r w:rsidR="00EC717F" w:rsidRPr="00887B9C">
        <w:rPr>
          <w:rFonts w:ascii="Times New Roman" w:hAnsi="Times New Roman" w:cs="Times New Roman"/>
          <w:sz w:val="24"/>
          <w:szCs w:val="24"/>
        </w:rPr>
        <w:t xml:space="preserve"> Т</w:t>
      </w:r>
    </w:p>
    <w:p w:rsidR="00961C4F" w:rsidRPr="00887B9C" w:rsidRDefault="00961C4F" w:rsidP="008F225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</w:rPr>
      </w:pPr>
      <w:r w:rsidRPr="00887B9C">
        <w:rPr>
          <w:b/>
        </w:rPr>
        <w:t xml:space="preserve">2. Склад </w:t>
      </w:r>
    </w:p>
    <w:p w:rsidR="007E1D9A" w:rsidRPr="00887B9C" w:rsidRDefault="007E1D9A" w:rsidP="008F225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87B9C">
        <w:t>1 мл препарату містить</w:t>
      </w:r>
      <w:r w:rsidR="00340D5A" w:rsidRPr="00887B9C">
        <w:t xml:space="preserve"> </w:t>
      </w:r>
      <w:r w:rsidR="00974084" w:rsidRPr="00887B9C">
        <w:t xml:space="preserve">діючу речовину </w:t>
      </w:r>
      <w:r w:rsidR="00340D5A" w:rsidRPr="00887B9C">
        <w:t>(мг)</w:t>
      </w:r>
      <w:r w:rsidRPr="00887B9C">
        <w:t>:</w:t>
      </w:r>
    </w:p>
    <w:p w:rsidR="007E1D9A" w:rsidRPr="00887B9C" w:rsidRDefault="00340D5A" w:rsidP="00CB4E5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proofErr w:type="spellStart"/>
      <w:r w:rsidRPr="00887B9C">
        <w:rPr>
          <w:shd w:val="clear" w:color="auto" w:fill="FFFFFF"/>
        </w:rPr>
        <w:t>тилозину</w:t>
      </w:r>
      <w:proofErr w:type="spellEnd"/>
      <w:r w:rsidRPr="00887B9C">
        <w:rPr>
          <w:shd w:val="clear" w:color="auto" w:fill="FFFFFF"/>
        </w:rPr>
        <w:t xml:space="preserve"> </w:t>
      </w:r>
      <w:proofErr w:type="spellStart"/>
      <w:r w:rsidRPr="00887B9C">
        <w:rPr>
          <w:shd w:val="clear" w:color="auto" w:fill="FFFFFF"/>
        </w:rPr>
        <w:t>тартрат</w:t>
      </w:r>
      <w:proofErr w:type="spellEnd"/>
      <w:r w:rsidRPr="00887B9C">
        <w:rPr>
          <w:shd w:val="clear" w:color="auto" w:fill="FFFFFF"/>
        </w:rPr>
        <w:t xml:space="preserve"> – 25,0</w:t>
      </w:r>
      <w:r w:rsidR="005E4EB9" w:rsidRPr="00887B9C">
        <w:t>.</w:t>
      </w:r>
    </w:p>
    <w:p w:rsidR="00A11238" w:rsidRPr="00887B9C" w:rsidRDefault="00A11238" w:rsidP="008F225A">
      <w:pPr>
        <w:pStyle w:val="3"/>
        <w:shd w:val="clear" w:color="auto" w:fill="FFFFFF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887B9C">
        <w:rPr>
          <w:rFonts w:ascii="Times New Roman" w:hAnsi="Times New Roman" w:cs="Times New Roman"/>
          <w:color w:val="auto"/>
        </w:rPr>
        <w:t xml:space="preserve">Допоміжні речовини: </w:t>
      </w:r>
      <w:proofErr w:type="spellStart"/>
      <w:r w:rsidR="00BA4DF0" w:rsidRPr="00887B9C">
        <w:rPr>
          <w:rFonts w:ascii="Times New Roman" w:hAnsi="Times New Roman" w:cs="Times New Roman"/>
          <w:color w:val="auto"/>
          <w:shd w:val="clear" w:color="auto" w:fill="FFFFFF"/>
        </w:rPr>
        <w:t>диметилсульфоксид</w:t>
      </w:r>
      <w:proofErr w:type="spellEnd"/>
      <w:r w:rsidR="00BA4DF0" w:rsidRPr="00887B9C">
        <w:rPr>
          <w:rFonts w:ascii="Times New Roman" w:hAnsi="Times New Roman" w:cs="Times New Roman"/>
          <w:color w:val="auto"/>
          <w:shd w:val="clear" w:color="auto" w:fill="FFFFFF"/>
        </w:rPr>
        <w:t xml:space="preserve"> і </w:t>
      </w:r>
      <w:proofErr w:type="spellStart"/>
      <w:r w:rsidR="00BA4DF0" w:rsidRPr="00887B9C">
        <w:rPr>
          <w:rFonts w:ascii="Times New Roman" w:hAnsi="Times New Roman" w:cs="Times New Roman"/>
          <w:color w:val="auto"/>
          <w:shd w:val="clear" w:color="auto" w:fill="FFFFFF"/>
        </w:rPr>
        <w:t>пропіленгліколь</w:t>
      </w:r>
      <w:proofErr w:type="spellEnd"/>
      <w:r w:rsidR="00BA4DF0" w:rsidRPr="00887B9C">
        <w:rPr>
          <w:rFonts w:ascii="Times New Roman" w:hAnsi="Times New Roman" w:cs="Times New Roman"/>
          <w:color w:val="auto"/>
        </w:rPr>
        <w:t>.</w:t>
      </w:r>
    </w:p>
    <w:p w:rsidR="00961C4F" w:rsidRPr="00887B9C" w:rsidRDefault="00961C4F" w:rsidP="008F225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87B9C">
        <w:rPr>
          <w:rFonts w:ascii="Times New Roman" w:hAnsi="Times New Roman" w:cs="Times New Roman"/>
          <w:b/>
          <w:sz w:val="24"/>
          <w:szCs w:val="24"/>
        </w:rPr>
        <w:t>3. Фармацевтична форма</w:t>
      </w:r>
    </w:p>
    <w:p w:rsidR="00961C4F" w:rsidRPr="00887B9C" w:rsidRDefault="00BA4DF0" w:rsidP="008F225A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887B9C">
        <w:rPr>
          <w:rFonts w:ascii="Times New Roman" w:hAnsi="Times New Roman" w:cs="Times New Roman"/>
          <w:sz w:val="24"/>
          <w:szCs w:val="24"/>
        </w:rPr>
        <w:t xml:space="preserve">Розчин для </w:t>
      </w:r>
      <w:proofErr w:type="spellStart"/>
      <w:r w:rsidRPr="00887B9C">
        <w:rPr>
          <w:rFonts w:ascii="Times New Roman" w:hAnsi="Times New Roman" w:cs="Times New Roman"/>
          <w:sz w:val="24"/>
          <w:szCs w:val="24"/>
        </w:rPr>
        <w:t>внутрішньоматкового</w:t>
      </w:r>
      <w:proofErr w:type="spellEnd"/>
      <w:r w:rsidRPr="00887B9C">
        <w:rPr>
          <w:rFonts w:ascii="Times New Roman" w:hAnsi="Times New Roman" w:cs="Times New Roman"/>
          <w:sz w:val="24"/>
          <w:szCs w:val="24"/>
        </w:rPr>
        <w:t xml:space="preserve"> застосування</w:t>
      </w:r>
      <w:r w:rsidR="00961C4F" w:rsidRPr="00887B9C">
        <w:rPr>
          <w:rFonts w:ascii="Times New Roman" w:hAnsi="Times New Roman" w:cs="Times New Roman"/>
          <w:spacing w:val="-1"/>
          <w:sz w:val="24"/>
          <w:szCs w:val="24"/>
        </w:rPr>
        <w:t>.</w:t>
      </w:r>
      <w:r w:rsidR="00961C4F" w:rsidRPr="00887B9C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</w:p>
    <w:p w:rsidR="007E1D9A" w:rsidRPr="00887B9C" w:rsidRDefault="00961C4F" w:rsidP="005972AF">
      <w:pPr>
        <w:pStyle w:val="3"/>
        <w:shd w:val="clear" w:color="auto" w:fill="FFFFFF"/>
        <w:spacing w:before="0" w:line="240" w:lineRule="auto"/>
        <w:ind w:firstLine="709"/>
        <w:jc w:val="both"/>
        <w:rPr>
          <w:rFonts w:ascii="Times New Roman" w:hAnsi="Times New Roman" w:cs="Times New Roman"/>
          <w:b/>
          <w:color w:val="auto"/>
        </w:rPr>
      </w:pPr>
      <w:r w:rsidRPr="00887B9C">
        <w:rPr>
          <w:rFonts w:ascii="Times New Roman" w:hAnsi="Times New Roman" w:cs="Times New Roman"/>
          <w:b/>
          <w:color w:val="auto"/>
        </w:rPr>
        <w:t xml:space="preserve">4. </w:t>
      </w:r>
      <w:r w:rsidR="007E1D9A" w:rsidRPr="00887B9C">
        <w:rPr>
          <w:rFonts w:ascii="Times New Roman" w:hAnsi="Times New Roman" w:cs="Times New Roman"/>
          <w:b/>
          <w:color w:val="auto"/>
        </w:rPr>
        <w:t>Фармакологічні властивості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</w:pPr>
      <w:proofErr w:type="spellStart"/>
      <w:r w:rsidRPr="00887B9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uk-UA"/>
        </w:rPr>
        <w:t>ATCvet</w:t>
      </w:r>
      <w:proofErr w:type="spellEnd"/>
      <w:r w:rsidRPr="00887B9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uk-UA"/>
        </w:rPr>
        <w:t xml:space="preserve"> класифікаційний код: QG51 — протимікробні та антисептичні ветеринарні препарати для </w:t>
      </w:r>
      <w:proofErr w:type="spellStart"/>
      <w:r w:rsidRPr="00887B9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uk-UA"/>
        </w:rPr>
        <w:t>внутрішньоматкового</w:t>
      </w:r>
      <w:proofErr w:type="spellEnd"/>
      <w:r w:rsidRPr="00887B9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uk-UA"/>
        </w:rPr>
        <w:t xml:space="preserve"> застосування</w:t>
      </w:r>
      <w:r w:rsidR="00B97EBA" w:rsidRPr="00887B9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uk-UA"/>
        </w:rPr>
        <w:t>.</w:t>
      </w:r>
      <w:r w:rsidRPr="00887B9C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uk-UA"/>
        </w:rPr>
        <w:t xml:space="preserve"> QG51AA — антибіотики.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Тилозин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— антибіотик групи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макролідів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який продукується </w:t>
      </w:r>
      <w:proofErr w:type="spellStart"/>
      <w:r w:rsidRPr="00887B9C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Streptomyces</w:t>
      </w:r>
      <w:proofErr w:type="spellEnd"/>
      <w:r w:rsidRPr="00887B9C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 xml:space="preserve"> </w:t>
      </w:r>
      <w:proofErr w:type="spellStart"/>
      <w:r w:rsidRPr="00887B9C">
        <w:rPr>
          <w:rFonts w:ascii="Times New Roman" w:eastAsia="Times New Roman" w:hAnsi="Times New Roman" w:cs="Times New Roman"/>
          <w:i/>
          <w:iCs/>
          <w:sz w:val="24"/>
          <w:szCs w:val="24"/>
          <w:lang w:eastAsia="uk-UA"/>
        </w:rPr>
        <w:t>fradiae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Діє переважно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бактеріостатично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пригнічуючи синтез білка в бактеріальній клітині шляхом зворотного зв’язування з 50S-субодиницею рибосом. Унаслідок цього порушуються процеси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транслокації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та подовження поліпептидного ланцюга, що зупиняє ріст і розмноження чутливих мікроорганізмів. Залежно від концентрації діючої речовини, виду збудника та ступеня його чутливості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тилозин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може проявляти бактерицидну дію.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7B9C">
        <w:rPr>
          <w:rFonts w:ascii="Times New Roman" w:hAnsi="Times New Roman" w:cs="Times New Roman"/>
          <w:sz w:val="24"/>
          <w:szCs w:val="24"/>
        </w:rPr>
        <w:t>Тилозин</w:t>
      </w:r>
      <w:proofErr w:type="spellEnd"/>
      <w:r w:rsidRPr="00887B9C">
        <w:rPr>
          <w:rFonts w:ascii="Times New Roman" w:hAnsi="Times New Roman" w:cs="Times New Roman"/>
          <w:sz w:val="24"/>
          <w:szCs w:val="24"/>
        </w:rPr>
        <w:t xml:space="preserve"> проявляє антимікробну активність переважно щодо </w:t>
      </w:r>
      <w:proofErr w:type="spellStart"/>
      <w:r w:rsidRPr="00887B9C">
        <w:rPr>
          <w:rFonts w:ascii="Times New Roman" w:hAnsi="Times New Roman" w:cs="Times New Roman"/>
          <w:sz w:val="24"/>
          <w:szCs w:val="24"/>
        </w:rPr>
        <w:t>грампозитивних</w:t>
      </w:r>
      <w:proofErr w:type="spellEnd"/>
      <w:r w:rsidRPr="00887B9C">
        <w:rPr>
          <w:rFonts w:ascii="Times New Roman" w:hAnsi="Times New Roman" w:cs="Times New Roman"/>
          <w:sz w:val="24"/>
          <w:szCs w:val="24"/>
        </w:rPr>
        <w:t xml:space="preserve"> мікроорганізмів, зокрема </w:t>
      </w:r>
      <w:proofErr w:type="spellStart"/>
      <w:r w:rsidRPr="00887B9C">
        <w:rPr>
          <w:rStyle w:val="a5"/>
          <w:rFonts w:ascii="Times New Roman" w:hAnsi="Times New Roman" w:cs="Times New Roman"/>
          <w:sz w:val="24"/>
          <w:szCs w:val="24"/>
        </w:rPr>
        <w:t>Staphylococcus</w:t>
      </w:r>
      <w:proofErr w:type="spellEnd"/>
      <w:r w:rsidRPr="00887B9C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7B9C">
        <w:rPr>
          <w:rStyle w:val="a5"/>
          <w:rFonts w:ascii="Times New Roman" w:hAnsi="Times New Roman" w:cs="Times New Roman"/>
          <w:sz w:val="24"/>
          <w:szCs w:val="24"/>
        </w:rPr>
        <w:t>aureus</w:t>
      </w:r>
      <w:proofErr w:type="spellEnd"/>
      <w:r w:rsidRPr="00887B9C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887B9C">
        <w:rPr>
          <w:rStyle w:val="a5"/>
          <w:rFonts w:ascii="Times New Roman" w:hAnsi="Times New Roman" w:cs="Times New Roman"/>
          <w:sz w:val="24"/>
          <w:szCs w:val="24"/>
        </w:rPr>
        <w:t>Streptococcus</w:t>
      </w:r>
      <w:proofErr w:type="spellEnd"/>
      <w:r w:rsidRPr="00887B9C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7B9C">
        <w:rPr>
          <w:rStyle w:val="a5"/>
          <w:rFonts w:ascii="Times New Roman" w:hAnsi="Times New Roman" w:cs="Times New Roman"/>
          <w:sz w:val="24"/>
          <w:szCs w:val="24"/>
        </w:rPr>
        <w:t>pyogenes</w:t>
      </w:r>
      <w:proofErr w:type="spellEnd"/>
      <w:r w:rsidRPr="00887B9C">
        <w:rPr>
          <w:rFonts w:ascii="Times New Roman" w:hAnsi="Times New Roman" w:cs="Times New Roman"/>
          <w:sz w:val="24"/>
          <w:szCs w:val="24"/>
        </w:rPr>
        <w:t xml:space="preserve">. Активність </w:t>
      </w:r>
      <w:proofErr w:type="spellStart"/>
      <w:r w:rsidRPr="00887B9C">
        <w:rPr>
          <w:rFonts w:ascii="Times New Roman" w:hAnsi="Times New Roman" w:cs="Times New Roman"/>
          <w:sz w:val="24"/>
          <w:szCs w:val="24"/>
        </w:rPr>
        <w:t>тилозину</w:t>
      </w:r>
      <w:proofErr w:type="spellEnd"/>
      <w:r w:rsidRPr="00887B9C">
        <w:rPr>
          <w:rFonts w:ascii="Times New Roman" w:hAnsi="Times New Roman" w:cs="Times New Roman"/>
          <w:sz w:val="24"/>
          <w:szCs w:val="24"/>
        </w:rPr>
        <w:t xml:space="preserve"> щодо грамнегативних бактерій, зокрема </w:t>
      </w:r>
      <w:proofErr w:type="spellStart"/>
      <w:r w:rsidRPr="00887B9C">
        <w:rPr>
          <w:rStyle w:val="a5"/>
          <w:rFonts w:ascii="Times New Roman" w:hAnsi="Times New Roman" w:cs="Times New Roman"/>
          <w:sz w:val="24"/>
          <w:szCs w:val="24"/>
        </w:rPr>
        <w:t>Escherichia</w:t>
      </w:r>
      <w:proofErr w:type="spellEnd"/>
      <w:r w:rsidRPr="00887B9C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7B9C">
        <w:rPr>
          <w:rStyle w:val="a5"/>
          <w:rFonts w:ascii="Times New Roman" w:hAnsi="Times New Roman" w:cs="Times New Roman"/>
          <w:sz w:val="24"/>
          <w:szCs w:val="24"/>
        </w:rPr>
        <w:t>coli</w:t>
      </w:r>
      <w:proofErr w:type="spellEnd"/>
      <w:r w:rsidRPr="00887B9C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887B9C">
        <w:rPr>
          <w:rStyle w:val="a5"/>
          <w:rFonts w:ascii="Times New Roman" w:hAnsi="Times New Roman" w:cs="Times New Roman"/>
          <w:sz w:val="24"/>
          <w:szCs w:val="24"/>
        </w:rPr>
        <w:t>Pseudomonas</w:t>
      </w:r>
      <w:proofErr w:type="spellEnd"/>
      <w:r w:rsidRPr="00887B9C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7B9C">
        <w:rPr>
          <w:rStyle w:val="a5"/>
          <w:rFonts w:ascii="Times New Roman" w:hAnsi="Times New Roman" w:cs="Times New Roman"/>
          <w:sz w:val="24"/>
          <w:szCs w:val="24"/>
        </w:rPr>
        <w:t>aeruginosa</w:t>
      </w:r>
      <w:proofErr w:type="spellEnd"/>
      <w:r w:rsidRPr="00887B9C">
        <w:rPr>
          <w:rFonts w:ascii="Times New Roman" w:hAnsi="Times New Roman" w:cs="Times New Roman"/>
          <w:sz w:val="24"/>
          <w:szCs w:val="24"/>
        </w:rPr>
        <w:t>, є обмеженою.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Диметилсульфоксид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 як допоміжна речовина, добре проникає крізь біологічні мембрани та проявляє транспортні властивості, сприяючи проникненню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тилозину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 слизову оболонку матки та прилеглі тканини. Крім того,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диметилсульфоксид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може чинити помірну місцеву протизапальну дію та покращувати розподіл діючої речовини у вогнищі запального процесу. 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Після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внутрішньоматкового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введення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тилозин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розподіляється переважно у порожнині матки та контактує зі слизовою оболонкою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ендометрія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створюючи високі локальні концентрації у вогнищі інфекції. Частина діючої речовини може абсорбуватися через слизову оболонку матки та надходити до системного кровотоку. Ступінь системної абсорбції залежить від стану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ендометрія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вираженості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запального процесу, об’єму введеного препарату та тривалості його контакту зі слизовою оболонкою.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Абсорбований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тилозин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розподіляється в органах і тканинах, особливо у тканинах із кислим середовищем і в осередках запалення.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Тилозин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частково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метаболізується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 печінці з утворенням метаболітів, частина яких зберігає антимікробну активність. Основна кількість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тилозину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після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внутрішньоматкового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введення виводиться разом із матковими виділеннями, а абсорбована частина — переважно з жовчю та фекаліями, меншою мірою із сечею та молоком.</w:t>
      </w:r>
    </w:p>
    <w:p w:rsidR="00A04E66" w:rsidRPr="00887B9C" w:rsidRDefault="00A04E66" w:rsidP="00A04E66">
      <w:pPr>
        <w:pStyle w:val="31"/>
        <w:ind w:firstLine="709"/>
        <w:rPr>
          <w:b/>
          <w:color w:val="auto"/>
        </w:rPr>
      </w:pPr>
      <w:r w:rsidRPr="00887B9C">
        <w:rPr>
          <w:b/>
          <w:color w:val="auto"/>
        </w:rPr>
        <w:t>5. Клінічні особливості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7B9C">
        <w:rPr>
          <w:rFonts w:ascii="Times New Roman" w:hAnsi="Times New Roman" w:cs="Times New Roman"/>
          <w:b/>
          <w:sz w:val="24"/>
          <w:szCs w:val="24"/>
        </w:rPr>
        <w:t>5.1 Вид тварин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7B9C">
        <w:rPr>
          <w:rFonts w:ascii="Times New Roman" w:hAnsi="Times New Roman" w:cs="Times New Roman"/>
          <w:sz w:val="24"/>
          <w:szCs w:val="24"/>
          <w:shd w:val="clear" w:color="auto" w:fill="FFFFFF"/>
        </w:rPr>
        <w:t>Велика рогата худоба</w:t>
      </w:r>
      <w:r w:rsidRPr="00887B9C">
        <w:rPr>
          <w:rFonts w:ascii="Times New Roman" w:hAnsi="Times New Roman" w:cs="Times New Roman"/>
          <w:sz w:val="24"/>
          <w:szCs w:val="24"/>
        </w:rPr>
        <w:t>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7B9C">
        <w:rPr>
          <w:rFonts w:ascii="Times New Roman" w:hAnsi="Times New Roman" w:cs="Times New Roman"/>
          <w:b/>
          <w:sz w:val="24"/>
          <w:szCs w:val="24"/>
        </w:rPr>
        <w:t>5.2 Показання до застосування</w:t>
      </w:r>
    </w:p>
    <w:p w:rsidR="00A04E66" w:rsidRPr="00887B9C" w:rsidRDefault="00A04E66" w:rsidP="00A04E66">
      <w:pPr>
        <w:pStyle w:val="a3"/>
        <w:spacing w:before="0" w:beforeAutospacing="0" w:after="0" w:afterAutospacing="0"/>
        <w:ind w:firstLine="709"/>
        <w:jc w:val="both"/>
      </w:pPr>
      <w:r w:rsidRPr="00887B9C">
        <w:t>Л</w:t>
      </w:r>
      <w:r w:rsidRPr="00887B9C">
        <w:rPr>
          <w:shd w:val="clear" w:color="auto" w:fill="FFFFFF"/>
        </w:rPr>
        <w:t xml:space="preserve">ікування корів за післяродових </w:t>
      </w:r>
      <w:proofErr w:type="spellStart"/>
      <w:r w:rsidRPr="00887B9C">
        <w:rPr>
          <w:shd w:val="clear" w:color="auto" w:fill="FFFFFF"/>
        </w:rPr>
        <w:t>внутрішньоматкових</w:t>
      </w:r>
      <w:proofErr w:type="spellEnd"/>
      <w:r w:rsidRPr="00887B9C">
        <w:rPr>
          <w:shd w:val="clear" w:color="auto" w:fill="FFFFFF"/>
        </w:rPr>
        <w:t xml:space="preserve"> інфекцій (ендометрит, </w:t>
      </w:r>
      <w:proofErr w:type="spellStart"/>
      <w:r w:rsidRPr="00887B9C">
        <w:rPr>
          <w:shd w:val="clear" w:color="auto" w:fill="FFFFFF"/>
        </w:rPr>
        <w:t>піометра</w:t>
      </w:r>
      <w:proofErr w:type="spellEnd"/>
      <w:r w:rsidRPr="00887B9C">
        <w:rPr>
          <w:shd w:val="clear" w:color="auto" w:fill="FFFFFF"/>
        </w:rPr>
        <w:t xml:space="preserve">, </w:t>
      </w:r>
      <w:proofErr w:type="spellStart"/>
      <w:r w:rsidRPr="00887B9C">
        <w:rPr>
          <w:shd w:val="clear" w:color="auto" w:fill="FFFFFF"/>
        </w:rPr>
        <w:t>цервіцит</w:t>
      </w:r>
      <w:proofErr w:type="spellEnd"/>
      <w:r w:rsidRPr="00887B9C">
        <w:rPr>
          <w:shd w:val="clear" w:color="auto" w:fill="FFFFFF"/>
        </w:rPr>
        <w:t xml:space="preserve">), </w:t>
      </w:r>
      <w:r w:rsidR="001F4CEA" w:rsidRPr="00887B9C">
        <w:rPr>
          <w:shd w:val="clear" w:color="auto" w:fill="FFFFFF"/>
        </w:rPr>
        <w:t xml:space="preserve">а також за вагініту та затримання плаценти, </w:t>
      </w:r>
      <w:r w:rsidRPr="00887B9C">
        <w:rPr>
          <w:shd w:val="clear" w:color="auto" w:fill="FFFFFF"/>
        </w:rPr>
        <w:t xml:space="preserve">що спричинені мікроорганізмами, чутливими до </w:t>
      </w:r>
      <w:proofErr w:type="spellStart"/>
      <w:r w:rsidRPr="00887B9C">
        <w:rPr>
          <w:shd w:val="clear" w:color="auto" w:fill="FFFFFF"/>
        </w:rPr>
        <w:t>тилозину</w:t>
      </w:r>
      <w:proofErr w:type="spellEnd"/>
      <w:r w:rsidRPr="00887B9C">
        <w:rPr>
          <w:shd w:val="clear" w:color="auto" w:fill="FFFFFF"/>
        </w:rPr>
        <w:t xml:space="preserve">. </w:t>
      </w:r>
    </w:p>
    <w:p w:rsidR="00A04E66" w:rsidRPr="00887B9C" w:rsidRDefault="00A04E66" w:rsidP="00A04E66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7B9C">
        <w:rPr>
          <w:rFonts w:ascii="Times New Roman" w:hAnsi="Times New Roman" w:cs="Times New Roman"/>
          <w:b/>
          <w:sz w:val="24"/>
          <w:szCs w:val="24"/>
        </w:rPr>
        <w:t>5.3 Протипоказання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Не застосовувати тваринам із підвищеною чутливістю до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тилозину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або до будь-яких компонентів препарату.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Не застосовувати за наявності резистентності збудників до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макролідів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або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поліміксинів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Не застосовувати у разі тяжких травматичних ушкоджень слизової оболонки матки, перфорації матки або станів, що потребують невідкладного хірургічного втручання.</w:t>
      </w:r>
    </w:p>
    <w:p w:rsidR="00A04E66" w:rsidRPr="00887B9C" w:rsidRDefault="00A04E66" w:rsidP="00A04E66">
      <w:pPr>
        <w:pStyle w:val="1"/>
        <w:spacing w:before="0" w:after="0"/>
        <w:ind w:firstLine="567"/>
        <w:jc w:val="right"/>
        <w:rPr>
          <w:rFonts w:ascii="Times New Roman" w:hAnsi="Times New Roman"/>
          <w:b w:val="0"/>
          <w:sz w:val="24"/>
          <w:szCs w:val="24"/>
        </w:rPr>
      </w:pPr>
      <w:r w:rsidRPr="00887B9C">
        <w:rPr>
          <w:rFonts w:ascii="Times New Roman" w:hAnsi="Times New Roman"/>
          <w:b w:val="0"/>
          <w:sz w:val="24"/>
          <w:szCs w:val="24"/>
        </w:rPr>
        <w:lastRenderedPageBreak/>
        <w:t>Продовження додатку 1</w:t>
      </w:r>
    </w:p>
    <w:p w:rsidR="00A04E66" w:rsidRPr="00887B9C" w:rsidRDefault="00A04E66" w:rsidP="00A04E6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87B9C">
        <w:rPr>
          <w:rFonts w:ascii="Times New Roman" w:hAnsi="Times New Roman" w:cs="Times New Roman"/>
          <w:sz w:val="24"/>
          <w:szCs w:val="24"/>
        </w:rPr>
        <w:t>до реєстраційного посвідчення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Не застосовувати одночасно з бактерицидними антибактеріальними препаратами (зокрема β-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лактамними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антибіотиками — пеніцилінами,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цефалоспоринами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) без клінічного обґрунтування, у зв’язку з можливим зниженням ефективності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макролідів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фармакодинамічний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антагонізм).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Не застосовувати одночасно з іншими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внутрішньоматковими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препаратами без оцінки їх сумісності.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7B9C">
        <w:rPr>
          <w:rFonts w:ascii="Times New Roman" w:hAnsi="Times New Roman" w:cs="Times New Roman"/>
          <w:b/>
          <w:sz w:val="24"/>
          <w:szCs w:val="24"/>
        </w:rPr>
        <w:t>5.4 Побічна дія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У поодиноких випадках можливі реакції підвищеної чутливості до компонентів препарату (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тилозину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або допоміжних речовин), що можуть проявлятися занепокоєнням тварини, алергічними реакціями або локальним подразненням слизової оболонки матки.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Після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внутрішньоматкового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введення інколи може спостерігатися короткочасне посилення виділень із статевих шляхів, що пов’язано з очищенням порожнини матки та не потребує відміни лікування.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 зв’язку з наявністю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диметилсульфоксиду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можливе незначне місцеве подразнення або відчуття дискомфорту у тварини після введення препарату, яке зазвичай є короткочасним і самостійно зникає.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Системні побічні реакції малоймовірні через обмежену системну абсорбцію діючих речовин при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внутрішньоматковому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застосуванні.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 разі розвитку виражених реакцій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гіперчутливості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застосування препарату слід припинити та призначити симптоматичну терапію.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7B9C">
        <w:rPr>
          <w:rFonts w:ascii="Times New Roman" w:hAnsi="Times New Roman" w:cs="Times New Roman"/>
          <w:b/>
          <w:sz w:val="24"/>
          <w:szCs w:val="24"/>
        </w:rPr>
        <w:t>5.5 Особливі застереження при використанні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Препарат застосовують лише після клінічного обстеження тварини та встановлення діагнозу. Перед введенням необхідно провести санітарну обробку зовнішніх статевих органів і дотримуватися правил асептики під час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внутрішньоматкового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введення.</w:t>
      </w:r>
    </w:p>
    <w:p w:rsidR="005A077C" w:rsidRPr="00887B9C" w:rsidRDefault="00A04E66" w:rsidP="005A07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87B9C">
        <w:rPr>
          <w:rFonts w:ascii="Times New Roman" w:hAnsi="Times New Roman" w:cs="Times New Roman"/>
          <w:sz w:val="24"/>
          <w:szCs w:val="24"/>
        </w:rPr>
        <w:t xml:space="preserve">Перед застосуванням препарату рекомендується провести визначення чутливості мікроорганізмів, виділених від хворих тварин, до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тилозину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Не перевищувати рекомендовані дози та кратність застосування. У разі відсутності клінічного покращення протягом 3–5 діб лікування слід переглянути діагноз та терапевтичну схему.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Препарат призначений лише для індивідуального лікування. Не застосовувати з профілактичною метою або для групового лікування тварин.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Застосування препарату повинно ґрунтуватися на принципах раціонального використання антимікробних засобів, з урахуванням національних рекомендацій та політики щодо стримування розвитку антимікробної резистентності.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7B9C">
        <w:rPr>
          <w:rFonts w:ascii="Times New Roman" w:hAnsi="Times New Roman" w:cs="Times New Roman"/>
          <w:b/>
          <w:sz w:val="24"/>
          <w:szCs w:val="24"/>
        </w:rPr>
        <w:t>5.6 Використання під час вагітності, лактації, несучості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87B9C">
        <w:rPr>
          <w:rFonts w:ascii="Times New Roman" w:hAnsi="Times New Roman"/>
          <w:sz w:val="24"/>
          <w:szCs w:val="24"/>
        </w:rPr>
        <w:t>Не застосовувати під час вагітності.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87B9C">
        <w:rPr>
          <w:rFonts w:ascii="Times New Roman" w:hAnsi="Times New Roman"/>
          <w:sz w:val="24"/>
          <w:szCs w:val="24"/>
        </w:rPr>
        <w:t>Препарат слід застосовувати переважно в ранній післяродовий період, на початку лактації.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7B9C">
        <w:rPr>
          <w:rFonts w:ascii="Times New Roman" w:hAnsi="Times New Roman" w:cs="Times New Roman"/>
          <w:b/>
          <w:sz w:val="24"/>
          <w:szCs w:val="24"/>
        </w:rPr>
        <w:t>5.7 Взаємодія з іншими засобами та інші форми взаємодії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Не рекомендується одночасне застосування препарату з бактерицидними антибактеріальними засобами (зокрема β-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лактамними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антибіотиками — пеніцилінами,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цефалоспоринами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), оскільки можливе зниження ефективності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тилозину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фармакодинамічний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антагонізм).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Слід уникати одночасного застосування з іншими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макролідними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або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лінкозамідними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антибіотиками у зв’язку з можливою перехресною резистентністю та конкуренцією за зв’язування з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рибосомальними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структурами мікроорганізмів.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Не застосовувати одночасно з іншими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внутрішньоматковими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препаратами без попередньої оцінки їх сумісності та доцільності комбінованої терапії.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У разі необхідності комбінованого застосування антимікробних засобів вибір препаратів і режим їх введення визначає лікар ветеринарної медицини з урахуванням чутливості збудника та клінічного стану тварини.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7B9C">
        <w:rPr>
          <w:rFonts w:ascii="Times New Roman" w:hAnsi="Times New Roman" w:cs="Times New Roman"/>
          <w:b/>
          <w:sz w:val="24"/>
          <w:szCs w:val="24"/>
        </w:rPr>
        <w:t xml:space="preserve">5.8 Дози і способи введення тваринам різного віку </w:t>
      </w:r>
    </w:p>
    <w:p w:rsidR="00A04E66" w:rsidRPr="00887B9C" w:rsidRDefault="00A04E66" w:rsidP="00A04E66">
      <w:pPr>
        <w:pStyle w:val="1"/>
        <w:spacing w:before="0" w:after="0"/>
        <w:ind w:firstLine="709"/>
        <w:jc w:val="right"/>
        <w:rPr>
          <w:rFonts w:ascii="Times New Roman" w:hAnsi="Times New Roman"/>
          <w:b w:val="0"/>
          <w:sz w:val="24"/>
          <w:szCs w:val="24"/>
        </w:rPr>
      </w:pPr>
      <w:r w:rsidRPr="00887B9C">
        <w:rPr>
          <w:rFonts w:ascii="Times New Roman" w:hAnsi="Times New Roman"/>
          <w:b w:val="0"/>
          <w:sz w:val="24"/>
          <w:szCs w:val="24"/>
        </w:rPr>
        <w:lastRenderedPageBreak/>
        <w:t>Продовження додатку 1</w:t>
      </w:r>
    </w:p>
    <w:p w:rsidR="00A04E66" w:rsidRPr="00887B9C" w:rsidRDefault="00A04E66" w:rsidP="00A04E6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87B9C">
        <w:rPr>
          <w:rFonts w:ascii="Times New Roman" w:hAnsi="Times New Roman" w:cs="Times New Roman"/>
          <w:sz w:val="24"/>
          <w:szCs w:val="24"/>
        </w:rPr>
        <w:t>до реєстраційного посвідчення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</w:pPr>
      <w:proofErr w:type="spellStart"/>
      <w:r w:rsidRPr="00887B9C">
        <w:rPr>
          <w:rFonts w:ascii="Times New Roman" w:hAnsi="Times New Roman" w:cs="Times New Roman"/>
          <w:sz w:val="24"/>
          <w:szCs w:val="24"/>
          <w:shd w:val="clear" w:color="auto" w:fill="FFFFFF"/>
        </w:rPr>
        <w:t>Внутрішньоматково</w:t>
      </w:r>
      <w:proofErr w:type="spellEnd"/>
      <w:r w:rsidRPr="00887B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дозі 50 мл </w:t>
      </w:r>
      <w:r w:rsidR="001F4CEA" w:rsidRPr="00887B9C">
        <w:rPr>
          <w:rFonts w:ascii="Times New Roman" w:hAnsi="Times New Roman" w:cs="Times New Roman"/>
          <w:sz w:val="24"/>
          <w:szCs w:val="24"/>
          <w:shd w:val="clear" w:color="auto" w:fill="FFFFFF"/>
        </w:rPr>
        <w:t>препарату</w:t>
      </w:r>
      <w:r w:rsidRPr="00887B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 раз на добу впродовж 3–5 діб. </w:t>
      </w:r>
      <w:r w:rsidRPr="00887B9C">
        <w:rPr>
          <w:rFonts w:ascii="Times New Roman" w:hAnsi="Times New Roman" w:cs="Times New Roman"/>
          <w:sz w:val="24"/>
          <w:szCs w:val="24"/>
        </w:rPr>
        <w:t xml:space="preserve">Препарат вводять у порожнину матки за допомогою стерильного ветеринарного шприца та катетера або спеціального </w:t>
      </w:r>
      <w:proofErr w:type="spellStart"/>
      <w:r w:rsidRPr="00887B9C">
        <w:rPr>
          <w:rFonts w:ascii="Times New Roman" w:hAnsi="Times New Roman" w:cs="Times New Roman"/>
          <w:sz w:val="24"/>
          <w:szCs w:val="24"/>
        </w:rPr>
        <w:t>внутрішньоматкового</w:t>
      </w:r>
      <w:proofErr w:type="spellEnd"/>
      <w:r w:rsidRPr="00887B9C">
        <w:rPr>
          <w:rFonts w:ascii="Times New Roman" w:hAnsi="Times New Roman" w:cs="Times New Roman"/>
          <w:sz w:val="24"/>
          <w:szCs w:val="24"/>
        </w:rPr>
        <w:t xml:space="preserve"> аплікатора з дотриманням правил асептики.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87B9C">
        <w:rPr>
          <w:rFonts w:ascii="Times New Roman" w:hAnsi="Times New Roman" w:cs="Times New Roman"/>
          <w:sz w:val="24"/>
          <w:szCs w:val="24"/>
        </w:rPr>
        <w:t>Перед застосуванням препарат підігрівають до температури +35–40 °С і ретельно збовтують.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7B9C">
        <w:rPr>
          <w:rFonts w:ascii="Times New Roman" w:hAnsi="Times New Roman" w:cs="Times New Roman"/>
          <w:b/>
          <w:sz w:val="24"/>
          <w:szCs w:val="24"/>
        </w:rPr>
        <w:t>5.9 Передозування (симптоми, невідкладні заходи, антидоти)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 застосуванні препарату у рекомендованих дозах випадки передозування не описані.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У разі введення надмірної кількості препарату можливе посилення місцевої реакції, що проявляється подразненням слизової оболонки матки, збільшенням кількості виділень із статевих шляхів, занепокоєнням тварини або ознаками місцевого запального процесу.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Системні прояви інтоксикації малоймовірні у зв’язку з переважно локальною дією препарату та обмеженою системною абсорбцією діючих речовин при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внутрішньоматковому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застосуванні. У поодиноких випадках можливі реакції підвищеної чутливості.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Лікування симптоматичне. У разі розвитку вираженої місцевої реакції рекомендується припинити застосування препарату, провести санацію порожнини матки стерильними ізотонічними розчинами та призначити протизапальну або десенсибілізуючу терапію за клінічними показаннями.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Специфічного антидоту немає.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7B9C">
        <w:rPr>
          <w:rFonts w:ascii="Times New Roman" w:hAnsi="Times New Roman" w:cs="Times New Roman"/>
          <w:b/>
          <w:sz w:val="24"/>
          <w:szCs w:val="24"/>
        </w:rPr>
        <w:t>5.10 Спеціальні застереження</w:t>
      </w:r>
    </w:p>
    <w:p w:rsidR="00A04E66" w:rsidRPr="00887B9C" w:rsidRDefault="00A04E66" w:rsidP="00A04E66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  <w:lang w:eastAsia="es-ES"/>
        </w:rPr>
      </w:pPr>
      <w:r w:rsidRPr="00887B9C">
        <w:rPr>
          <w:rFonts w:ascii="Times New Roman" w:hAnsi="Times New Roman" w:cs="Times New Roman"/>
          <w:sz w:val="24"/>
          <w:szCs w:val="24"/>
          <w:lang w:eastAsia="es-ES"/>
        </w:rPr>
        <w:t>Відсутні.</w:t>
      </w:r>
    </w:p>
    <w:p w:rsidR="00A04E66" w:rsidRPr="00887B9C" w:rsidRDefault="00A04E66" w:rsidP="00A04E66">
      <w:pPr>
        <w:pStyle w:val="ab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887B9C">
        <w:rPr>
          <w:rFonts w:ascii="Times New Roman" w:hAnsi="Times New Roman" w:cs="Times New Roman"/>
          <w:b/>
          <w:sz w:val="24"/>
          <w:szCs w:val="24"/>
        </w:rPr>
        <w:t>5.11 Період виведення (</w:t>
      </w:r>
      <w:proofErr w:type="spellStart"/>
      <w:r w:rsidRPr="00887B9C">
        <w:rPr>
          <w:rFonts w:ascii="Times New Roman" w:hAnsi="Times New Roman" w:cs="Times New Roman"/>
          <w:b/>
          <w:sz w:val="24"/>
          <w:szCs w:val="24"/>
        </w:rPr>
        <w:t>каренції</w:t>
      </w:r>
      <w:proofErr w:type="spellEnd"/>
      <w:r w:rsidRPr="00887B9C">
        <w:rPr>
          <w:rFonts w:ascii="Times New Roman" w:hAnsi="Times New Roman" w:cs="Times New Roman"/>
          <w:b/>
          <w:sz w:val="24"/>
          <w:szCs w:val="24"/>
        </w:rPr>
        <w:t>)</w:t>
      </w:r>
    </w:p>
    <w:p w:rsidR="00A04E66" w:rsidRPr="00887B9C" w:rsidRDefault="00A04E66" w:rsidP="00A04E66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7B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Забій тварин на м’ясо дозволяється через 28 діб після останнього застосування препарату. Споживання молока в їжу людям дозволяється через 5 діб після останнього застосування препарату. Отримане до зазначеного терміну м’ясо та молоко утилізують або згодовують непродуктивним тваринам, залежно від </w:t>
      </w:r>
      <w:proofErr w:type="spellStart"/>
      <w:r w:rsidR="00905AFE" w:rsidRPr="00887B9C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висновк</w:t>
      </w:r>
      <w:r w:rsidR="00943C6A" w:rsidRPr="00887B9C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у</w:t>
      </w:r>
      <w:proofErr w:type="spellEnd"/>
      <w:r w:rsidRPr="00887B9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лікаря ветеринарної медицини.</w:t>
      </w:r>
    </w:p>
    <w:p w:rsidR="00A04E66" w:rsidRPr="00887B9C" w:rsidRDefault="00A04E66" w:rsidP="00A04E66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7B9C">
        <w:rPr>
          <w:rFonts w:ascii="Times New Roman" w:hAnsi="Times New Roman" w:cs="Times New Roman"/>
          <w:b/>
          <w:sz w:val="24"/>
          <w:szCs w:val="24"/>
        </w:rPr>
        <w:t>5.12 Спеціальні застереження для осіб і обслуговуючого персоналу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Під час роботи з препаратом необхідно дотримуватися загальних правил безпеки та особистої гігієни, прийнятих при роботі з ветеринарними лікарськими засобами.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Уникати контакту препарату зі шкірою, слизовими оболонками та очима. У разі випадкового потрапляння препарату на шкіру або слизові оболонки їх необхідно негайно промити великою кількістю води.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Особи з підвищеною чутливістю до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макролідних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антибіотиків,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поліміксинів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або допоміжних речовин (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диметилсульфоксиду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пропіленгліколю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) повинні уникати контакту з препаратом. У разі появи симптомів алергічної реакції (почервоніння шкіри, свербіж, висипання, набряк) необхідно звернутися до лікаря та мати при собі інструкцію або етикетку препарату.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Під час роботи не дозволяється палити, пити або приймати їжу. Після завершення роботи необхідно вимити руки теплою водою з милом.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Диметилсульфоксид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може полегшувати проникнення речовин через шкіру, тому слід уникати потрапляння препарату на відкриті ділянки шкіри.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Використані матеріали, упаковку та залишки препарату утилізують відповідно до національних вимог щодо поводження з ветеринарними лікарськими засобами.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7B9C">
        <w:rPr>
          <w:rFonts w:ascii="Times New Roman" w:hAnsi="Times New Roman" w:cs="Times New Roman"/>
          <w:b/>
          <w:sz w:val="24"/>
          <w:szCs w:val="24"/>
        </w:rPr>
        <w:t>6. Фармацевтичні особливості</w:t>
      </w:r>
    </w:p>
    <w:p w:rsidR="00A04E66" w:rsidRPr="00887B9C" w:rsidRDefault="00A04E66" w:rsidP="00A04E66">
      <w:pPr>
        <w:pStyle w:val="2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7B9C">
        <w:rPr>
          <w:rFonts w:ascii="Times New Roman" w:hAnsi="Times New Roman" w:cs="Times New Roman"/>
          <w:b/>
          <w:sz w:val="24"/>
          <w:szCs w:val="24"/>
        </w:rPr>
        <w:t>6.1 Форми несумісності (основні)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Не змішувати препарат з іншими лікарськими засобами в одному шприці, катетері або системі для введення через можливу фізико-хімічну несумісність та зміну стабільності препарату.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Не застосовувати одночасно з іншими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внутрішньоматковими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препаратами без попередньої оцінки сумісності, оскільки це може впливати на ефективність і безпечність лікування.</w:t>
      </w:r>
    </w:p>
    <w:p w:rsidR="00A04E66" w:rsidRPr="00887B9C" w:rsidRDefault="00A04E66" w:rsidP="00A04E66">
      <w:pPr>
        <w:pStyle w:val="1"/>
        <w:spacing w:before="0" w:after="0"/>
        <w:ind w:firstLine="709"/>
        <w:jc w:val="right"/>
        <w:rPr>
          <w:rFonts w:ascii="Times New Roman" w:hAnsi="Times New Roman"/>
          <w:b w:val="0"/>
          <w:sz w:val="24"/>
          <w:szCs w:val="24"/>
        </w:rPr>
      </w:pPr>
    </w:p>
    <w:p w:rsidR="00A04E66" w:rsidRPr="00887B9C" w:rsidRDefault="00A04E66" w:rsidP="00A04E66">
      <w:pPr>
        <w:pStyle w:val="1"/>
        <w:spacing w:before="0" w:after="0"/>
        <w:ind w:firstLine="709"/>
        <w:jc w:val="right"/>
        <w:rPr>
          <w:rFonts w:ascii="Times New Roman" w:hAnsi="Times New Roman"/>
          <w:b w:val="0"/>
          <w:sz w:val="24"/>
          <w:szCs w:val="24"/>
        </w:rPr>
      </w:pPr>
      <w:r w:rsidRPr="00887B9C">
        <w:rPr>
          <w:rFonts w:ascii="Times New Roman" w:hAnsi="Times New Roman"/>
          <w:b w:val="0"/>
          <w:sz w:val="24"/>
          <w:szCs w:val="24"/>
        </w:rPr>
        <w:t>Продовження додатку 1</w:t>
      </w:r>
    </w:p>
    <w:p w:rsidR="00A04E66" w:rsidRPr="00887B9C" w:rsidRDefault="00A04E66" w:rsidP="00A04E6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87B9C">
        <w:rPr>
          <w:rFonts w:ascii="Times New Roman" w:hAnsi="Times New Roman" w:cs="Times New Roman"/>
          <w:sz w:val="24"/>
          <w:szCs w:val="24"/>
        </w:rPr>
        <w:t>до реєстраційного посвідчення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Тилозин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може проявляти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фармакодинамічний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антагонізм із бактерицидними антибактеріальними препаратами (зокрема β-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лактамними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антибіотиками — пеніцилінами,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цефалоспоринами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), що може знижувати загальну антимікробну ефективність.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Не рекомендується комбінувати препарат із іншими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макролідними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або 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>лінкозамідними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антибіотиками через можливу перехресну резистентність і конкуренцію за зв’язування з рибосомами мікроорганізмів.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7B9C">
        <w:rPr>
          <w:rFonts w:ascii="Times New Roman" w:hAnsi="Times New Roman" w:cs="Times New Roman"/>
          <w:b/>
          <w:sz w:val="24"/>
          <w:szCs w:val="24"/>
        </w:rPr>
        <w:t>6.2 Термін придатності</w:t>
      </w:r>
    </w:p>
    <w:p w:rsidR="00A04E66" w:rsidRPr="00887B9C" w:rsidRDefault="00A04E66" w:rsidP="00A04E6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87B9C">
        <w:t>2 роки.</w:t>
      </w:r>
    </w:p>
    <w:p w:rsidR="00A04E66" w:rsidRPr="00887B9C" w:rsidRDefault="00A04E66" w:rsidP="00A04E6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87B9C">
        <w:t>Після стерильного відкриття флакона препарат зберігати в холодильнику та використати протягом 7 діб.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7B9C">
        <w:rPr>
          <w:rFonts w:ascii="Times New Roman" w:hAnsi="Times New Roman" w:cs="Times New Roman"/>
          <w:b/>
          <w:sz w:val="24"/>
          <w:szCs w:val="24"/>
        </w:rPr>
        <w:t>6.3 Особливі заходи зберігання</w:t>
      </w:r>
    </w:p>
    <w:p w:rsidR="00A04E66" w:rsidRPr="00887B9C" w:rsidRDefault="00A04E66" w:rsidP="00A04E6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887B9C">
        <w:t>У сухому, темному, недоступному для дітей місці за температури від 5 до 25 °С.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7B9C">
        <w:rPr>
          <w:rFonts w:ascii="Times New Roman" w:hAnsi="Times New Roman" w:cs="Times New Roman"/>
          <w:b/>
          <w:sz w:val="24"/>
          <w:szCs w:val="24"/>
        </w:rPr>
        <w:t>6.4 Природа і склад контейнера первинного упакування</w:t>
      </w:r>
    </w:p>
    <w:p w:rsidR="00A04E66" w:rsidRPr="00887B9C" w:rsidRDefault="00A04E66" w:rsidP="00A04E6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7B9C">
        <w:rPr>
          <w:rFonts w:ascii="Times New Roman" w:hAnsi="Times New Roman" w:cs="Times New Roman"/>
          <w:sz w:val="24"/>
          <w:szCs w:val="24"/>
          <w:shd w:val="clear" w:color="auto" w:fill="FFFFFF"/>
        </w:rPr>
        <w:t>Полімерні пляшки по 1000 мл.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7B9C">
        <w:rPr>
          <w:rFonts w:ascii="Times New Roman" w:hAnsi="Times New Roman" w:cs="Times New Roman"/>
          <w:b/>
          <w:sz w:val="24"/>
          <w:szCs w:val="24"/>
        </w:rPr>
        <w:t>6.5 Особливі заходи безпеки при поводженні з невикористаним препаратом або із його залишками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7B9C">
        <w:rPr>
          <w:rFonts w:ascii="Times New Roman" w:hAnsi="Times New Roman" w:cs="Times New Roman"/>
          <w:sz w:val="24"/>
          <w:szCs w:val="24"/>
        </w:rPr>
        <w:t xml:space="preserve">Невикористаний або </w:t>
      </w:r>
      <w:proofErr w:type="spellStart"/>
      <w:r w:rsidRPr="00887B9C">
        <w:rPr>
          <w:rFonts w:ascii="Times New Roman" w:hAnsi="Times New Roman" w:cs="Times New Roman"/>
          <w:sz w:val="24"/>
          <w:szCs w:val="24"/>
        </w:rPr>
        <w:t>протермінований</w:t>
      </w:r>
      <w:proofErr w:type="spellEnd"/>
      <w:r w:rsidRPr="00887B9C">
        <w:rPr>
          <w:rFonts w:ascii="Times New Roman" w:hAnsi="Times New Roman" w:cs="Times New Roman"/>
          <w:sz w:val="24"/>
          <w:szCs w:val="24"/>
        </w:rPr>
        <w:t xml:space="preserve"> препарат утилізують</w:t>
      </w:r>
      <w:r w:rsidR="00553F25" w:rsidRPr="00887B9C">
        <w:rPr>
          <w:rFonts w:ascii="Times New Roman" w:hAnsi="Times New Roman" w:cs="Times New Roman"/>
          <w:sz w:val="24"/>
          <w:szCs w:val="24"/>
        </w:rPr>
        <w:t xml:space="preserve"> відповідно до вимог чинного законодавства</w:t>
      </w:r>
      <w:r w:rsidRPr="00887B9C">
        <w:rPr>
          <w:rFonts w:ascii="Times New Roman" w:hAnsi="Times New Roman" w:cs="Times New Roman"/>
          <w:sz w:val="24"/>
          <w:szCs w:val="24"/>
        </w:rPr>
        <w:t>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7B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7. Назва та місцезнаходження власника реєстраційного посвідчення 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B9C">
        <w:rPr>
          <w:rFonts w:ascii="Times New Roman" w:eastAsia="Times New Roman" w:hAnsi="Times New Roman" w:cs="Times New Roman"/>
          <w:sz w:val="24"/>
          <w:szCs w:val="24"/>
          <w:lang w:eastAsia="ru-RU"/>
        </w:rPr>
        <w:t>ПП “</w:t>
      </w:r>
      <w:proofErr w:type="spellStart"/>
      <w:r w:rsidRPr="00887B9C">
        <w:rPr>
          <w:rFonts w:ascii="Times New Roman" w:eastAsia="Times New Roman" w:hAnsi="Times New Roman" w:cs="Times New Roman"/>
          <w:sz w:val="24"/>
          <w:szCs w:val="24"/>
          <w:lang w:eastAsia="ru-RU"/>
        </w:rPr>
        <w:t>Біофарм</w:t>
      </w:r>
      <w:proofErr w:type="spellEnd"/>
      <w:r w:rsidRPr="00887B9C">
        <w:rPr>
          <w:rFonts w:ascii="Times New Roman" w:eastAsia="Times New Roman" w:hAnsi="Times New Roman" w:cs="Times New Roman"/>
          <w:sz w:val="24"/>
          <w:szCs w:val="24"/>
          <w:lang w:eastAsia="ru-RU"/>
        </w:rPr>
        <w:t>”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7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22300, Україна, Вінницька область, </w:t>
      </w:r>
      <w:proofErr w:type="spellStart"/>
      <w:r w:rsidRPr="00887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Літинський</w:t>
      </w:r>
      <w:proofErr w:type="spellEnd"/>
      <w:r w:rsidRPr="00887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район, смт. </w:t>
      </w:r>
      <w:proofErr w:type="spellStart"/>
      <w:r w:rsidRPr="00887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Літин</w:t>
      </w:r>
      <w:proofErr w:type="spellEnd"/>
      <w:r w:rsidRPr="00887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вул. Б. Хмельницького, 37. Тел./факс (04347) 2-21-44.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7B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8. Назва та місцезнаходження  виробника 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87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 </w:t>
      </w:r>
      <w:r w:rsidRPr="00887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“ДЕВІЕ” 22300, Україна, Вінницька область, </w:t>
      </w:r>
      <w:proofErr w:type="spellStart"/>
      <w:r w:rsidRPr="00887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Літинський</w:t>
      </w:r>
      <w:proofErr w:type="spellEnd"/>
      <w:r w:rsidRPr="00887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район, смт. </w:t>
      </w:r>
      <w:proofErr w:type="spellStart"/>
      <w:r w:rsidRPr="00887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Літин</w:t>
      </w:r>
      <w:proofErr w:type="spellEnd"/>
      <w:r w:rsidRPr="00887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вул. Б. Хмельницького, 37. Тел./факс (04347) 2-21-44.</w:t>
      </w:r>
    </w:p>
    <w:p w:rsidR="00A04E66" w:rsidRPr="00887B9C" w:rsidRDefault="00A04E66" w:rsidP="00A04E66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/>
          <w:b/>
          <w:bCs/>
          <w:sz w:val="24"/>
          <w:szCs w:val="24"/>
          <w:lang w:bidi="en-US"/>
        </w:rPr>
      </w:pPr>
      <w:r w:rsidRPr="00887B9C">
        <w:rPr>
          <w:rFonts w:ascii="Times New Roman" w:eastAsia="Lucida Sans Unicode" w:hAnsi="Times New Roman"/>
          <w:b/>
          <w:bCs/>
          <w:sz w:val="24"/>
          <w:szCs w:val="24"/>
          <w:lang w:bidi="en-US"/>
        </w:rPr>
        <w:t>9 Додаткова інформація</w:t>
      </w:r>
    </w:p>
    <w:p w:rsidR="00A04E66" w:rsidRPr="00887B9C" w:rsidRDefault="00A04E66" w:rsidP="00A04E66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/>
          <w:b/>
          <w:bCs/>
          <w:sz w:val="24"/>
          <w:szCs w:val="24"/>
          <w:lang w:bidi="en-US"/>
        </w:rPr>
      </w:pPr>
      <w:r w:rsidRPr="00887B9C">
        <w:rPr>
          <w:rFonts w:ascii="Times New Roman" w:hAnsi="Times New Roman"/>
          <w:sz w:val="24"/>
          <w:szCs w:val="24"/>
        </w:rPr>
        <w:t>Рекомендовано відпуск за рецептом.</w:t>
      </w:r>
    </w:p>
    <w:p w:rsidR="00A04E66" w:rsidRPr="00887B9C" w:rsidRDefault="00A04E66" w:rsidP="00A04E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0"/>
    <w:p w:rsidR="007E1D9A" w:rsidRPr="00887B9C" w:rsidRDefault="007E1D9A" w:rsidP="00A04E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7E1D9A" w:rsidRPr="00887B9C" w:rsidSect="000D044F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BC521B"/>
    <w:multiLevelType w:val="multilevel"/>
    <w:tmpl w:val="2BBE9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597708"/>
    <w:multiLevelType w:val="multilevel"/>
    <w:tmpl w:val="91C6D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DC2C76"/>
    <w:multiLevelType w:val="multilevel"/>
    <w:tmpl w:val="CE5C2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19278B"/>
    <w:multiLevelType w:val="multilevel"/>
    <w:tmpl w:val="5B5C3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70780"/>
    <w:rsid w:val="000104C7"/>
    <w:rsid w:val="000537D4"/>
    <w:rsid w:val="00057A6D"/>
    <w:rsid w:val="000D044F"/>
    <w:rsid w:val="00127228"/>
    <w:rsid w:val="001F4CEA"/>
    <w:rsid w:val="0026225C"/>
    <w:rsid w:val="002D7197"/>
    <w:rsid w:val="0033133C"/>
    <w:rsid w:val="00340D5A"/>
    <w:rsid w:val="00370780"/>
    <w:rsid w:val="00377E7F"/>
    <w:rsid w:val="003F14B2"/>
    <w:rsid w:val="003F6CAF"/>
    <w:rsid w:val="00424CD5"/>
    <w:rsid w:val="004A4B68"/>
    <w:rsid w:val="004C4EAC"/>
    <w:rsid w:val="004E79D8"/>
    <w:rsid w:val="00505E1D"/>
    <w:rsid w:val="00547FFA"/>
    <w:rsid w:val="00553F25"/>
    <w:rsid w:val="005972AF"/>
    <w:rsid w:val="005A077C"/>
    <w:rsid w:val="005D383E"/>
    <w:rsid w:val="005E4EB9"/>
    <w:rsid w:val="006B4C82"/>
    <w:rsid w:val="006F02AE"/>
    <w:rsid w:val="007E1D9A"/>
    <w:rsid w:val="00887B9C"/>
    <w:rsid w:val="008F225A"/>
    <w:rsid w:val="00905AFE"/>
    <w:rsid w:val="00943C6A"/>
    <w:rsid w:val="00961C4F"/>
    <w:rsid w:val="00974084"/>
    <w:rsid w:val="009859F9"/>
    <w:rsid w:val="009904C9"/>
    <w:rsid w:val="00A04E66"/>
    <w:rsid w:val="00A11238"/>
    <w:rsid w:val="00B502E6"/>
    <w:rsid w:val="00B66188"/>
    <w:rsid w:val="00B97EBA"/>
    <w:rsid w:val="00BA4DF0"/>
    <w:rsid w:val="00BB15EB"/>
    <w:rsid w:val="00BD5101"/>
    <w:rsid w:val="00C10823"/>
    <w:rsid w:val="00C75DB6"/>
    <w:rsid w:val="00C90E36"/>
    <w:rsid w:val="00CB4E59"/>
    <w:rsid w:val="00D061B5"/>
    <w:rsid w:val="00D14AE4"/>
    <w:rsid w:val="00DC6AB3"/>
    <w:rsid w:val="00E43087"/>
    <w:rsid w:val="00E925ED"/>
    <w:rsid w:val="00EC717F"/>
    <w:rsid w:val="00F05720"/>
    <w:rsid w:val="00F4437F"/>
    <w:rsid w:val="00FD7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2FCC26-6457-4CA0-87D0-EDE11989A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5EB"/>
  </w:style>
  <w:style w:type="paragraph" w:styleId="1">
    <w:name w:val="heading 1"/>
    <w:basedOn w:val="a"/>
    <w:next w:val="a"/>
    <w:link w:val="10"/>
    <w:qFormat/>
    <w:rsid w:val="007E1D9A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1D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E1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7E1D9A"/>
    <w:rPr>
      <w:b/>
      <w:bCs/>
    </w:rPr>
  </w:style>
  <w:style w:type="character" w:styleId="a5">
    <w:name w:val="Emphasis"/>
    <w:basedOn w:val="a0"/>
    <w:uiPriority w:val="20"/>
    <w:qFormat/>
    <w:rsid w:val="007E1D9A"/>
    <w:rPr>
      <w:i/>
      <w:iCs/>
    </w:rPr>
  </w:style>
  <w:style w:type="character" w:customStyle="1" w:styleId="10">
    <w:name w:val="Заголовок 1 Знак"/>
    <w:basedOn w:val="a0"/>
    <w:link w:val="1"/>
    <w:rsid w:val="007E1D9A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E1D9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6">
    <w:name w:val="List Paragraph"/>
    <w:basedOn w:val="a"/>
    <w:uiPriority w:val="34"/>
    <w:qFormat/>
    <w:rsid w:val="00F05720"/>
    <w:pPr>
      <w:ind w:left="720"/>
      <w:contextualSpacing/>
    </w:pPr>
  </w:style>
  <w:style w:type="paragraph" w:styleId="31">
    <w:name w:val="Body Text 3"/>
    <w:basedOn w:val="a"/>
    <w:link w:val="32"/>
    <w:rsid w:val="00961C4F"/>
    <w:pPr>
      <w:spacing w:after="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4"/>
      <w:lang w:eastAsia="ru-RU"/>
    </w:rPr>
  </w:style>
  <w:style w:type="character" w:customStyle="1" w:styleId="32">
    <w:name w:val="Основний текст 3 Знак"/>
    <w:basedOn w:val="a0"/>
    <w:link w:val="31"/>
    <w:rsid w:val="00961C4F"/>
    <w:rPr>
      <w:rFonts w:ascii="Times New Roman" w:eastAsia="Times New Roman" w:hAnsi="Times New Roman" w:cs="Times New Roman"/>
      <w:color w:val="0000FF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505E1D"/>
    <w:pPr>
      <w:spacing w:after="120"/>
    </w:pPr>
  </w:style>
  <w:style w:type="character" w:customStyle="1" w:styleId="a8">
    <w:name w:val="Основний текст Знак"/>
    <w:basedOn w:val="a0"/>
    <w:link w:val="a7"/>
    <w:rsid w:val="00505E1D"/>
  </w:style>
  <w:style w:type="paragraph" w:styleId="2">
    <w:name w:val="Body Text 2"/>
    <w:basedOn w:val="a"/>
    <w:link w:val="20"/>
    <w:uiPriority w:val="99"/>
    <w:unhideWhenUsed/>
    <w:rsid w:val="006B4C82"/>
    <w:pPr>
      <w:spacing w:after="120" w:line="480" w:lineRule="auto"/>
    </w:pPr>
  </w:style>
  <w:style w:type="character" w:customStyle="1" w:styleId="20">
    <w:name w:val="Основний текст 2 Знак"/>
    <w:basedOn w:val="a0"/>
    <w:link w:val="2"/>
    <w:uiPriority w:val="99"/>
    <w:rsid w:val="006B4C82"/>
  </w:style>
  <w:style w:type="paragraph" w:styleId="a9">
    <w:name w:val="Plain Text"/>
    <w:basedOn w:val="a"/>
    <w:link w:val="aa"/>
    <w:rsid w:val="006B4C82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a">
    <w:name w:val="Текст Знак"/>
    <w:basedOn w:val="a0"/>
    <w:link w:val="a9"/>
    <w:rsid w:val="006B4C82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customStyle="1" w:styleId="WW-">
    <w:name w:val="WW-Текст"/>
    <w:basedOn w:val="a"/>
    <w:rsid w:val="006B4C82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styleId="ab">
    <w:name w:val="No Spacing"/>
    <w:uiPriority w:val="1"/>
    <w:qFormat/>
    <w:rsid w:val="009859F9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rsid w:val="00BA4D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BA4DF0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relative">
    <w:name w:val="relative"/>
    <w:basedOn w:val="a0"/>
    <w:rsid w:val="00127228"/>
  </w:style>
  <w:style w:type="paragraph" w:customStyle="1" w:styleId="not-prose">
    <w:name w:val="not-prose"/>
    <w:basedOn w:val="a"/>
    <w:rsid w:val="00127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c">
    <w:name w:val="Balloon Text"/>
    <w:basedOn w:val="a"/>
    <w:link w:val="ad"/>
    <w:uiPriority w:val="99"/>
    <w:semiHidden/>
    <w:unhideWhenUsed/>
    <w:rsid w:val="003F6C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3F6CAF"/>
    <w:rPr>
      <w:rFonts w:ascii="Segoe UI" w:hAnsi="Segoe UI" w:cs="Segoe UI"/>
      <w:sz w:val="18"/>
      <w:szCs w:val="18"/>
    </w:rPr>
  </w:style>
  <w:style w:type="character" w:customStyle="1" w:styleId="longtext">
    <w:name w:val="long_text"/>
    <w:basedOn w:val="a0"/>
    <w:rsid w:val="00B66188"/>
  </w:style>
  <w:style w:type="character" w:customStyle="1" w:styleId="hps">
    <w:name w:val="hps"/>
    <w:basedOn w:val="a0"/>
    <w:rsid w:val="00B66188"/>
  </w:style>
  <w:style w:type="paragraph" w:customStyle="1" w:styleId="isselectedend">
    <w:name w:val="isselectedend"/>
    <w:basedOn w:val="a"/>
    <w:rsid w:val="00597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2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4090EF-800A-41E8-ACF5-6BB47B190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664</TotalTime>
  <Pages>4</Pages>
  <Words>7128</Words>
  <Characters>4064</Characters>
  <Application>Microsoft Office Word</Application>
  <DocSecurity>0</DocSecurity>
  <Lines>33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</dc:creator>
  <cp:keywords/>
  <dc:description/>
  <cp:lastModifiedBy>admin</cp:lastModifiedBy>
  <cp:revision>49</cp:revision>
  <cp:lastPrinted>2026-05-21T11:10:00Z</cp:lastPrinted>
  <dcterms:created xsi:type="dcterms:W3CDTF">2025-12-05T10:36:00Z</dcterms:created>
  <dcterms:modified xsi:type="dcterms:W3CDTF">2026-09-18T13:27:00Z</dcterms:modified>
</cp:coreProperties>
</file>