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38C5" w14:textId="77777777" w:rsidR="00BD58C1" w:rsidRPr="00B85235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Коротка характеристика препарату</w:t>
      </w:r>
    </w:p>
    <w:p w14:paraId="1258D3F5" w14:textId="77777777" w:rsidR="00BD58C1" w:rsidRPr="00B85235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</w:p>
    <w:p w14:paraId="74C8112D" w14:textId="77777777" w:rsidR="00BD58C1" w:rsidRPr="00B85235" w:rsidRDefault="00BD58C1" w:rsidP="00BD58C1">
      <w:pPr>
        <w:tabs>
          <w:tab w:val="left" w:pos="0"/>
          <w:tab w:val="left" w:pos="2148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1. Назва</w:t>
      </w:r>
    </w:p>
    <w:p w14:paraId="3A47EDE0" w14:textId="5C37FA6F" w:rsidR="00BD58C1" w:rsidRPr="002B050F" w:rsidRDefault="00B85235" w:rsidP="00770580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B050F">
        <w:rPr>
          <w:rFonts w:asciiTheme="majorBidi" w:hAnsiTheme="majorBidi" w:cstheme="majorBidi"/>
          <w:color w:val="121212"/>
          <w:sz w:val="24"/>
          <w:szCs w:val="24"/>
        </w:rPr>
        <w:t>ОКЛАВІЛЬ</w:t>
      </w:r>
      <w:r w:rsidR="00264B9A" w:rsidRPr="002B050F">
        <w:rPr>
          <w:rFonts w:asciiTheme="majorBidi" w:hAnsiTheme="majorBidi" w:cstheme="majorBidi"/>
          <w:sz w:val="24"/>
          <w:szCs w:val="24"/>
        </w:rPr>
        <w:t xml:space="preserve"> таблетки</w:t>
      </w:r>
      <w:r w:rsidRPr="002B050F">
        <w:rPr>
          <w:rFonts w:asciiTheme="majorBidi" w:hAnsiTheme="majorBidi" w:cstheme="majorBidi"/>
          <w:sz w:val="24"/>
          <w:szCs w:val="24"/>
        </w:rPr>
        <w:t xml:space="preserve"> 3,6 мг</w:t>
      </w:r>
    </w:p>
    <w:p w14:paraId="2D2094B6" w14:textId="77777777" w:rsidR="000D11BC" w:rsidRPr="002B050F" w:rsidRDefault="00BD58C1" w:rsidP="000D11BC">
      <w:pPr>
        <w:shd w:val="clear" w:color="auto" w:fill="FFFFFF"/>
        <w:tabs>
          <w:tab w:val="left" w:pos="0"/>
          <w:tab w:val="left" w:pos="40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050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2. </w:t>
      </w:r>
      <w:r w:rsidR="000D11BC" w:rsidRPr="002B05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Склад</w:t>
      </w:r>
    </w:p>
    <w:p w14:paraId="7FA0AC9C" w14:textId="13533FC5" w:rsidR="00770580" w:rsidRPr="002B050F" w:rsidRDefault="00770580" w:rsidP="007705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таблетка</w:t>
      </w:r>
      <w:r w:rsidR="00B85235"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(100 мг)</w:t>
      </w:r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містить</w:t>
      </w:r>
      <w:r w:rsidR="00B85235"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85235" w:rsidRPr="002B050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діючу речовину</w:t>
      </w:r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0574F2F3" w14:textId="709F703E" w:rsidR="00770580" w:rsidRPr="002B050F" w:rsidRDefault="00770580" w:rsidP="007705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оклацитинібу</w:t>
      </w:r>
      <w:proofErr w:type="spellEnd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малеат</w:t>
      </w:r>
      <w:proofErr w:type="spellEnd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4,84 мг, що відповідає </w:t>
      </w:r>
      <w:proofErr w:type="spellStart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оклацитинібу</w:t>
      </w:r>
      <w:proofErr w:type="spellEnd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3,6 мг;</w:t>
      </w:r>
    </w:p>
    <w:p w14:paraId="6909CC65" w14:textId="4C70FC5A" w:rsidR="00BD58C1" w:rsidRPr="002B050F" w:rsidRDefault="00770580" w:rsidP="0077058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B050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допоміжні речовини:</w:t>
      </w:r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целюлоза мікрокристалічна; лактоза, моногідрат; натрію </w:t>
      </w:r>
      <w:proofErr w:type="spellStart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крохмальгліколят</w:t>
      </w:r>
      <w:proofErr w:type="spellEnd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магнію </w:t>
      </w:r>
      <w:proofErr w:type="spellStart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стеарат</w:t>
      </w:r>
      <w:proofErr w:type="spellEnd"/>
      <w:r w:rsidRPr="002B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F32F29" w14:textId="77777777" w:rsidR="00BD58C1" w:rsidRPr="002B050F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B050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3. Фармацевтична форма</w:t>
      </w:r>
    </w:p>
    <w:p w14:paraId="07650407" w14:textId="3ACF986F" w:rsidR="00BD58C1" w:rsidRPr="002B050F" w:rsidRDefault="00770580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2B050F">
        <w:rPr>
          <w:rFonts w:asciiTheme="majorBidi" w:eastAsia="Times New Roman" w:hAnsiTheme="majorBidi" w:cstheme="majorBidi"/>
          <w:sz w:val="24"/>
          <w:szCs w:val="24"/>
          <w:lang w:eastAsia="ru-RU"/>
        </w:rPr>
        <w:t>Таблетки</w:t>
      </w:r>
      <w:r w:rsidR="00BD58C1" w:rsidRPr="002B050F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495822A3" w14:textId="3923A8C1" w:rsidR="00BD58C1" w:rsidRPr="002B050F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B050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4. Фармакологічні властивості</w:t>
      </w:r>
    </w:p>
    <w:p w14:paraId="4DFA5CF7" w14:textId="4221D0E4" w:rsidR="001B4520" w:rsidRPr="00A12ECC" w:rsidRDefault="001B4520" w:rsidP="001B4520">
      <w:pPr>
        <w:pStyle w:val="af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12ECC">
        <w:rPr>
          <w:rFonts w:ascii="Times New Roman" w:hAnsi="Times New Roman" w:cs="Times New Roman"/>
          <w:b/>
          <w:i/>
          <w:sz w:val="24"/>
          <w:szCs w:val="24"/>
        </w:rPr>
        <w:t xml:space="preserve">ATC </w:t>
      </w:r>
      <w:proofErr w:type="spellStart"/>
      <w:r w:rsidRPr="00A12ECC">
        <w:rPr>
          <w:rFonts w:ascii="Times New Roman" w:hAnsi="Times New Roman" w:cs="Times New Roman"/>
          <w:b/>
          <w:i/>
          <w:sz w:val="24"/>
          <w:szCs w:val="24"/>
        </w:rPr>
        <w:t>vet</w:t>
      </w:r>
      <w:proofErr w:type="spellEnd"/>
      <w:r w:rsidRPr="00A12ECC">
        <w:rPr>
          <w:rFonts w:ascii="Times New Roman" w:hAnsi="Times New Roman" w:cs="Times New Roman"/>
          <w:b/>
          <w:i/>
          <w:sz w:val="24"/>
          <w:szCs w:val="24"/>
        </w:rPr>
        <w:t xml:space="preserve"> класифікаційний код  Q</w:t>
      </w:r>
      <w:r w:rsidRPr="00A12ECC">
        <w:rPr>
          <w:rFonts w:ascii="Times New Roman" w:hAnsi="Times New Roman" w:cs="Times New Roman"/>
          <w:b/>
          <w:i/>
          <w:sz w:val="24"/>
          <w:szCs w:val="24"/>
          <w:lang w:val="en-US"/>
        </w:rPr>
        <w:t>D</w:t>
      </w:r>
      <w:r w:rsidRPr="00A12ECC">
        <w:rPr>
          <w:rFonts w:ascii="Times New Roman" w:hAnsi="Times New Roman" w:cs="Times New Roman"/>
          <w:b/>
          <w:i/>
          <w:sz w:val="24"/>
          <w:szCs w:val="24"/>
        </w:rPr>
        <w:t>11- інші дерматологічні ветеринарні препарати. Q</w:t>
      </w:r>
      <w:r w:rsidRPr="00A12ECC">
        <w:rPr>
          <w:rFonts w:ascii="Times New Roman" w:hAnsi="Times New Roman" w:cs="Times New Roman"/>
          <w:b/>
          <w:i/>
          <w:sz w:val="24"/>
          <w:szCs w:val="24"/>
          <w:lang w:val="en-US"/>
        </w:rPr>
        <w:t>D</w:t>
      </w:r>
      <w:r w:rsidRPr="00A12ECC">
        <w:rPr>
          <w:rFonts w:ascii="Times New Roman" w:hAnsi="Times New Roman" w:cs="Times New Roman"/>
          <w:b/>
          <w:i/>
          <w:sz w:val="24"/>
          <w:szCs w:val="24"/>
        </w:rPr>
        <w:t>11</w:t>
      </w:r>
      <w:r w:rsidRPr="00A12ECC">
        <w:rPr>
          <w:rFonts w:ascii="Times New Roman" w:hAnsi="Times New Roman" w:cs="Times New Roman"/>
          <w:b/>
          <w:i/>
          <w:sz w:val="24"/>
          <w:szCs w:val="24"/>
          <w:lang w:val="en-US"/>
        </w:rPr>
        <w:t>AH</w:t>
      </w:r>
      <w:r w:rsidRPr="00A12ECC">
        <w:rPr>
          <w:rFonts w:ascii="Times New Roman" w:hAnsi="Times New Roman" w:cs="Times New Roman"/>
          <w:b/>
          <w:i/>
          <w:sz w:val="24"/>
          <w:szCs w:val="24"/>
        </w:rPr>
        <w:t xml:space="preserve">90- </w:t>
      </w:r>
      <w:proofErr w:type="spellStart"/>
      <w:r w:rsidRPr="00A12ECC">
        <w:rPr>
          <w:rFonts w:ascii="Times New Roman" w:hAnsi="Times New Roman" w:cs="Times New Roman"/>
          <w:b/>
          <w:i/>
          <w:sz w:val="24"/>
          <w:szCs w:val="24"/>
        </w:rPr>
        <w:t>Оклацитиніб</w:t>
      </w:r>
      <w:proofErr w:type="spellEnd"/>
      <w:r w:rsidR="0047708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18CD5A6E" w14:textId="322E613F" w:rsidR="001B4520" w:rsidRPr="00296180" w:rsidRDefault="001B4520" w:rsidP="001B4520">
      <w:pPr>
        <w:pStyle w:val="af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spellStart"/>
      <w:r w:rsidRPr="00A12EC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Оклац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итиніб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є інгібітором </w:t>
      </w:r>
      <w:proofErr w:type="spellStart"/>
      <w:r w:rsidRPr="00D9268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янус-кіназ</w:t>
      </w:r>
      <w:proofErr w:type="spellEnd"/>
      <w:r w:rsidRPr="00D9268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(</w:t>
      </w:r>
      <w:r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JAK). Це група ферментів, що </w:t>
      </w:r>
      <w:r w:rsidR="0047708F"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беруть</w:t>
      </w:r>
      <w:r w:rsidRPr="00296180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 xml:space="preserve"> </w:t>
      </w:r>
      <w:r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участь у внутрішньоклітинній передачі сигналу з </w:t>
      </w:r>
      <w:proofErr w:type="spellStart"/>
      <w:r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цитокінових</w:t>
      </w:r>
      <w:proofErr w:type="spellEnd"/>
      <w:r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рецепторів. </w:t>
      </w:r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Він пригнічує функцію різних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цитокінів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залежних від активності ферментів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янус-кіназ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JAK1 або JAK3. Для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цільовими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цитокінами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є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прозапальні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цитокіни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і ті, які відіграють певну роль у появі алергічних реакцій або свербіння. Проте,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</w:t>
      </w:r>
      <w:proofErr w:type="spellEnd"/>
      <w:r w:rsidRPr="00296180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також може впливати і на інші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цитокіни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(наприклад, ті, які беруть участь у захисних реакціях організму або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гемоцитопоезі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 зі здатністю до небажаних ефектів.</w:t>
      </w:r>
    </w:p>
    <w:p w14:paraId="1912FA9E" w14:textId="77777777" w:rsidR="001B4520" w:rsidRPr="00296180" w:rsidRDefault="001B4520" w:rsidP="001B4520">
      <w:pPr>
        <w:pStyle w:val="af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Після перорального застосування в собак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малеат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швидко та добре абсорбується та досягає максимальної концентрації в плазмі крові менше, ніж за годину. Абсолютна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біодоступність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становить 89 %. Прийом корму не впливає на швидкість та ступінь абсорбції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Виводиться з організму в незміненій формі, переважно з сечею, період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напіввиведення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становить 3</w:t>
      </w:r>
      <w:r w:rsidRPr="0029618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–</w:t>
      </w:r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 години.</w:t>
      </w:r>
    </w:p>
    <w:p w14:paraId="08252BE9" w14:textId="77777777" w:rsidR="001B4520" w:rsidRPr="00296180" w:rsidRDefault="001B4520" w:rsidP="001B4520">
      <w:pPr>
        <w:pStyle w:val="af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собак, яких лікували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оклацитинібом</w:t>
      </w:r>
      <w:proofErr w:type="spellEnd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протягом 6 місяців, не спостерігалася кумуляція препарату в організмі.</w:t>
      </w:r>
    </w:p>
    <w:p w14:paraId="15123914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 Клінічні особливості</w:t>
      </w:r>
    </w:p>
    <w:p w14:paraId="772466EA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 Вид тварин</w:t>
      </w:r>
    </w:p>
    <w:p w14:paraId="4A8D171E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Собаки.</w:t>
      </w:r>
    </w:p>
    <w:p w14:paraId="21BCBA55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5.2 Показання до застосування</w:t>
      </w:r>
    </w:p>
    <w:p w14:paraId="60451FF3" w14:textId="77777777" w:rsidR="001B4520" w:rsidRPr="00296180" w:rsidRDefault="001B4520" w:rsidP="001B4520">
      <w:pPr>
        <w:tabs>
          <w:tab w:val="left" w:pos="0"/>
        </w:tabs>
        <w:spacing w:after="0"/>
        <w:jc w:val="both"/>
        <w:rPr>
          <w:rFonts w:asciiTheme="majorBidi" w:hAnsiTheme="majorBidi" w:cstheme="majorBidi"/>
          <w:snapToGrid w:val="0"/>
          <w:sz w:val="24"/>
          <w:szCs w:val="24"/>
        </w:rPr>
      </w:pP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Лікування собак, хворих на алергічний дерматит (контроль свербіння), а також з клінічними проявами </w:t>
      </w:r>
      <w:proofErr w:type="spellStart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атопічного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дерматиту.</w:t>
      </w:r>
    </w:p>
    <w:p w14:paraId="56E79BA5" w14:textId="77777777" w:rsidR="001B4520" w:rsidRPr="00296180" w:rsidRDefault="001B4520" w:rsidP="001B452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5.3 Протипоказання</w:t>
      </w:r>
    </w:p>
    <w:p w14:paraId="0E4AF823" w14:textId="77777777" w:rsidR="001B4520" w:rsidRPr="00296180" w:rsidRDefault="001B4520" w:rsidP="001B452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Не застосовувати за підвищеної чутливості до активної речовини або будь-якого наповнювача в складі препарату.</w:t>
      </w:r>
    </w:p>
    <w:p w14:paraId="6D1E1F78" w14:textId="77777777" w:rsidR="001B4520" w:rsidRPr="00296180" w:rsidRDefault="001B4520" w:rsidP="001B452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Не застосовувати собакам віком, молодшим за 12 місяців, або які мають масу тіла, меншу за 3 кг. </w:t>
      </w:r>
    </w:p>
    <w:p w14:paraId="37AA26BF" w14:textId="3D8DBE79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Не застосовувати собакам із ознаками пригнічення імунітету, </w:t>
      </w:r>
      <w:r w:rsidR="0047708F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proofErr w:type="spellStart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гіперадренокортицизм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або з ознаками прогресуючої злоякісної неоплазії, тому що дія </w:t>
      </w:r>
      <w:proofErr w:type="spellStart"/>
      <w:r w:rsidRPr="002961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в таких випадках не досліджувалася.</w:t>
      </w:r>
    </w:p>
    <w:p w14:paraId="159D3373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5.4 Побічна дія</w:t>
      </w:r>
    </w:p>
    <w:p w14:paraId="4ACB6FE2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У таблиці наведені побічні реакції, які виявлені при клінічних дослідженнях на 16 добу застосування препарату та плацебо:</w:t>
      </w:r>
    </w:p>
    <w:p w14:paraId="79901846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1B4520" w:rsidRPr="00296180" w14:paraId="5DC9F422" w14:textId="77777777" w:rsidTr="005364C9">
        <w:tc>
          <w:tcPr>
            <w:tcW w:w="1868" w:type="dxa"/>
            <w:vMerge w:val="restart"/>
          </w:tcPr>
          <w:p w14:paraId="28003A34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</w:tc>
        <w:tc>
          <w:tcPr>
            <w:tcW w:w="3738" w:type="dxa"/>
            <w:gridSpan w:val="2"/>
          </w:tcPr>
          <w:p w14:paraId="2BC5B1A3" w14:textId="29B9B6D2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Побічні реакції, які спостерігали </w:t>
            </w:r>
            <w:r w:rsidR="004A0DD3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під час лікування собак, хворих на </w:t>
            </w:r>
            <w:proofErr w:type="spellStart"/>
            <w:r w:rsidR="004A0DD3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атопічний</w:t>
            </w:r>
            <w:proofErr w:type="spellEnd"/>
            <w:r w:rsidR="004A0DD3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дерматит</w:t>
            </w:r>
            <w:r w:rsidR="00D92681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,</w:t>
            </w:r>
            <w:r w:rsidR="004A0DD3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на 16 добу</w:t>
            </w:r>
          </w:p>
        </w:tc>
        <w:tc>
          <w:tcPr>
            <w:tcW w:w="3738" w:type="dxa"/>
            <w:gridSpan w:val="2"/>
          </w:tcPr>
          <w:p w14:paraId="5A3C7E66" w14:textId="6CD69D3D" w:rsidR="001B4520" w:rsidRPr="00296180" w:rsidRDefault="004A0DD3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Побічні реакції, які спостерігали під час лікування собак з ознаками свербіння</w:t>
            </w:r>
            <w:r w:rsidR="00D92681"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,</w:t>
            </w: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на 7 добу</w:t>
            </w:r>
          </w:p>
        </w:tc>
      </w:tr>
      <w:tr w:rsidR="001B4520" w:rsidRPr="00296180" w14:paraId="7AE66DC6" w14:textId="77777777" w:rsidTr="005364C9">
        <w:tc>
          <w:tcPr>
            <w:tcW w:w="1868" w:type="dxa"/>
            <w:vMerge/>
          </w:tcPr>
          <w:p w14:paraId="27A79777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636A8546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Препарат (n=152)</w:t>
            </w:r>
          </w:p>
        </w:tc>
        <w:tc>
          <w:tcPr>
            <w:tcW w:w="1869" w:type="dxa"/>
          </w:tcPr>
          <w:p w14:paraId="0887AE7E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Плацебо (n=147)</w:t>
            </w:r>
          </w:p>
        </w:tc>
        <w:tc>
          <w:tcPr>
            <w:tcW w:w="1869" w:type="dxa"/>
          </w:tcPr>
          <w:p w14:paraId="583DC601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Препарат (n=216)</w:t>
            </w:r>
          </w:p>
        </w:tc>
        <w:tc>
          <w:tcPr>
            <w:tcW w:w="1869" w:type="dxa"/>
          </w:tcPr>
          <w:p w14:paraId="54E1F0F9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Плацебо (n=220)</w:t>
            </w:r>
          </w:p>
        </w:tc>
      </w:tr>
      <w:tr w:rsidR="001B4520" w:rsidRPr="00296180" w14:paraId="60CCC0C4" w14:textId="77777777" w:rsidTr="005364C9">
        <w:tc>
          <w:tcPr>
            <w:tcW w:w="1868" w:type="dxa"/>
          </w:tcPr>
          <w:p w14:paraId="750E45A7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Діарея</w:t>
            </w:r>
          </w:p>
        </w:tc>
        <w:tc>
          <w:tcPr>
            <w:tcW w:w="1869" w:type="dxa"/>
          </w:tcPr>
          <w:p w14:paraId="3F931A45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4,6 %</w:t>
            </w:r>
          </w:p>
        </w:tc>
        <w:tc>
          <w:tcPr>
            <w:tcW w:w="1869" w:type="dxa"/>
          </w:tcPr>
          <w:p w14:paraId="096393A0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3,4 %</w:t>
            </w:r>
          </w:p>
        </w:tc>
        <w:tc>
          <w:tcPr>
            <w:tcW w:w="1869" w:type="dxa"/>
          </w:tcPr>
          <w:p w14:paraId="4C230A56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2,3 %</w:t>
            </w:r>
          </w:p>
        </w:tc>
        <w:tc>
          <w:tcPr>
            <w:tcW w:w="1869" w:type="dxa"/>
          </w:tcPr>
          <w:p w14:paraId="77505B55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0,9 %</w:t>
            </w:r>
          </w:p>
        </w:tc>
      </w:tr>
      <w:tr w:rsidR="001B4520" w:rsidRPr="00296180" w14:paraId="2F4FAEFA" w14:textId="77777777" w:rsidTr="005364C9">
        <w:tc>
          <w:tcPr>
            <w:tcW w:w="1868" w:type="dxa"/>
          </w:tcPr>
          <w:p w14:paraId="2A0C06D5" w14:textId="0E902AA5" w:rsidR="001B4520" w:rsidRPr="00296180" w:rsidRDefault="004A0DD3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Блювання</w:t>
            </w:r>
          </w:p>
        </w:tc>
        <w:tc>
          <w:tcPr>
            <w:tcW w:w="1869" w:type="dxa"/>
          </w:tcPr>
          <w:p w14:paraId="2A6ED4E0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3,9 %</w:t>
            </w:r>
          </w:p>
        </w:tc>
        <w:tc>
          <w:tcPr>
            <w:tcW w:w="1869" w:type="dxa"/>
          </w:tcPr>
          <w:p w14:paraId="78E95164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4,1 %</w:t>
            </w:r>
          </w:p>
        </w:tc>
        <w:tc>
          <w:tcPr>
            <w:tcW w:w="1869" w:type="dxa"/>
          </w:tcPr>
          <w:p w14:paraId="29E45620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2,3 %</w:t>
            </w:r>
          </w:p>
        </w:tc>
        <w:tc>
          <w:tcPr>
            <w:tcW w:w="1869" w:type="dxa"/>
          </w:tcPr>
          <w:p w14:paraId="37C8D993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1,8 %</w:t>
            </w:r>
          </w:p>
        </w:tc>
      </w:tr>
      <w:tr w:rsidR="001B4520" w:rsidRPr="00296180" w14:paraId="02076552" w14:textId="77777777" w:rsidTr="005364C9">
        <w:tc>
          <w:tcPr>
            <w:tcW w:w="1868" w:type="dxa"/>
          </w:tcPr>
          <w:p w14:paraId="1EF866BE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Анорексія</w:t>
            </w:r>
          </w:p>
        </w:tc>
        <w:tc>
          <w:tcPr>
            <w:tcW w:w="1869" w:type="dxa"/>
          </w:tcPr>
          <w:p w14:paraId="3A8A4A29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2,6 %</w:t>
            </w:r>
          </w:p>
        </w:tc>
        <w:tc>
          <w:tcPr>
            <w:tcW w:w="1869" w:type="dxa"/>
          </w:tcPr>
          <w:p w14:paraId="664BD724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  <w:tc>
          <w:tcPr>
            <w:tcW w:w="1869" w:type="dxa"/>
          </w:tcPr>
          <w:p w14:paraId="06896E87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6161DA7A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  <w:tr w:rsidR="001B4520" w:rsidRPr="00296180" w14:paraId="4998F212" w14:textId="77777777" w:rsidTr="005364C9">
        <w:tc>
          <w:tcPr>
            <w:tcW w:w="1868" w:type="dxa"/>
          </w:tcPr>
          <w:p w14:paraId="70C6BCF3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Нові нашкірні або підшкірні припухання</w:t>
            </w:r>
          </w:p>
        </w:tc>
        <w:tc>
          <w:tcPr>
            <w:tcW w:w="1869" w:type="dxa"/>
          </w:tcPr>
          <w:p w14:paraId="134B9F08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2,6 %</w:t>
            </w:r>
          </w:p>
        </w:tc>
        <w:tc>
          <w:tcPr>
            <w:tcW w:w="1869" w:type="dxa"/>
          </w:tcPr>
          <w:p w14:paraId="5720BDE9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2,7 %</w:t>
            </w:r>
          </w:p>
        </w:tc>
        <w:tc>
          <w:tcPr>
            <w:tcW w:w="1869" w:type="dxa"/>
          </w:tcPr>
          <w:p w14:paraId="1E2282D7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1,0 %</w:t>
            </w:r>
          </w:p>
        </w:tc>
        <w:tc>
          <w:tcPr>
            <w:tcW w:w="1869" w:type="dxa"/>
          </w:tcPr>
          <w:p w14:paraId="2D023ADD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  <w:tr w:rsidR="001B4520" w:rsidRPr="00296180" w14:paraId="250C3014" w14:textId="77777777" w:rsidTr="005364C9">
        <w:tc>
          <w:tcPr>
            <w:tcW w:w="1868" w:type="dxa"/>
          </w:tcPr>
          <w:p w14:paraId="0B8B88D0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Млявість</w:t>
            </w:r>
          </w:p>
        </w:tc>
        <w:tc>
          <w:tcPr>
            <w:tcW w:w="1869" w:type="dxa"/>
          </w:tcPr>
          <w:p w14:paraId="030C591A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2,0 %</w:t>
            </w:r>
          </w:p>
        </w:tc>
        <w:tc>
          <w:tcPr>
            <w:tcW w:w="1869" w:type="dxa"/>
          </w:tcPr>
          <w:p w14:paraId="0BC2DD24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4DAA6561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1,8 %</w:t>
            </w:r>
          </w:p>
        </w:tc>
        <w:tc>
          <w:tcPr>
            <w:tcW w:w="1869" w:type="dxa"/>
          </w:tcPr>
          <w:p w14:paraId="1D0006A9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</w:tr>
      <w:tr w:rsidR="001B4520" w:rsidRPr="00296180" w14:paraId="1BA45824" w14:textId="77777777" w:rsidTr="005364C9">
        <w:tc>
          <w:tcPr>
            <w:tcW w:w="1868" w:type="dxa"/>
          </w:tcPr>
          <w:p w14:paraId="5F9D28F5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proofErr w:type="spellStart"/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Полідіпсія</w:t>
            </w:r>
            <w:proofErr w:type="spellEnd"/>
          </w:p>
        </w:tc>
        <w:tc>
          <w:tcPr>
            <w:tcW w:w="1869" w:type="dxa"/>
          </w:tcPr>
          <w:p w14:paraId="2B3939F6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0,7 %</w:t>
            </w:r>
          </w:p>
        </w:tc>
        <w:tc>
          <w:tcPr>
            <w:tcW w:w="1869" w:type="dxa"/>
          </w:tcPr>
          <w:p w14:paraId="4D716EFA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13BB5A25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157DF172" w14:textId="77777777" w:rsidR="001B4520" w:rsidRPr="00296180" w:rsidRDefault="001B4520" w:rsidP="005364C9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</w:tbl>
    <w:p w14:paraId="0AD619A0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Після 16 доби в більше, ніж 1 % собак, також було 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відмічено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такі побічні реакції, як: піодермія, неспецифічні 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дермальні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припухання, отит, 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гістіоцитома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, цистит, 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кандидози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, 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пододерматит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, ліпоми, збільшення лімфатичних вузлів, нудота, підвищений апетит та агресивніс</w:t>
      </w:r>
      <w:bookmarkStart w:id="0" w:name="_GoBack"/>
      <w:bookmarkEnd w:id="0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ть.</w:t>
      </w:r>
    </w:p>
    <w:p w14:paraId="52A1B99C" w14:textId="634E62BC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Під час лікування препаратом відмічали зміни показників крові, </w:t>
      </w:r>
      <w:r w:rsidR="0047708F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="0047708F"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збільшення середнього вмісту</w:t>
      </w:r>
      <w:r w:rsidRPr="00296180">
        <w:rPr>
          <w:rFonts w:asciiTheme="majorBidi" w:eastAsia="Times New Roman" w:hAnsiTheme="majorBidi" w:cstheme="majorBidi"/>
          <w:iCs/>
          <w:color w:val="FF0000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холестерину в сироватці крові; і зниження </w:t>
      </w:r>
      <w:r w:rsidR="004A0DD3"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середньої кількості </w:t>
      </w: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лейкоцитів, проте, всі інші показники залишались у межах норми. Зменшення середнього числа лейкоцитів не було прогресивним і впливало на кількість усіх білих кров’яних тілець (</w:t>
      </w:r>
      <w:proofErr w:type="spellStart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нейтрофілів</w:t>
      </w:r>
      <w:proofErr w:type="spellEnd"/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, еозинофілів та моноцитів), за винятком лімфоцитів. Але всі ці зміни не мали суттєвого клінічного значення.</w:t>
      </w:r>
    </w:p>
    <w:p w14:paraId="215A6F23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Під час лабораторних досліджень було зафіксовано розвиток папілом у деяких собак.</w:t>
      </w:r>
    </w:p>
    <w:p w14:paraId="256666E9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5.5 Особливі застереження при використанні</w:t>
      </w:r>
    </w:p>
    <w:p w14:paraId="6486C046" w14:textId="09610A03" w:rsidR="001B4520" w:rsidRPr="00296180" w:rsidRDefault="001B4520" w:rsidP="001B452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Оклацитиніб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модулює імунну систему і може підвищити сприйнятливість до інфекції та прискорити розвиток пухлинного процесу. Тому собак, яким застосовують </w:t>
      </w:r>
      <w:r w:rsidRPr="00296180">
        <w:rPr>
          <w:rFonts w:asciiTheme="majorBidi" w:hAnsiTheme="majorBidi" w:cstheme="majorBidi"/>
          <w:sz w:val="24"/>
          <w:szCs w:val="24"/>
        </w:rPr>
        <w:t>препарат</w:t>
      </w: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потрібно контролювати на можливий розвиток інфекцій або пухлин. Перед початком лікування алергічного дерматиту препаратом необхідно виявити та пролікувати інші можливі причини захворювання (наприклад, блошиний дерматит, контактний дерматит або харчова </w:t>
      </w:r>
      <w:proofErr w:type="spellStart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гіперчутливість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). </w:t>
      </w:r>
      <w:r w:rsidR="004A0DD3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Крім того, під час лікування тварин, хворих на алергічний та </w:t>
      </w:r>
      <w:proofErr w:type="spellStart"/>
      <w:r w:rsidR="004A0DD3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атопічний</w:t>
      </w:r>
      <w:proofErr w:type="spellEnd"/>
      <w:r w:rsidR="004A0DD3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дерматит,</w:t>
      </w: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рекомендовано виявити та </w:t>
      </w:r>
      <w:r w:rsidR="004A0DD3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усунути</w:t>
      </w: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ускладнюючі фактори, </w:t>
      </w:r>
      <w:r w:rsidR="0047708F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бактеріальні, </w:t>
      </w:r>
      <w:proofErr w:type="spellStart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мікозні</w:t>
      </w:r>
      <w:proofErr w:type="spellEnd"/>
      <w:r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або паразитарні інфекції/інвазії (наприклад, блохи або короста).</w:t>
      </w:r>
    </w:p>
    <w:p w14:paraId="208B3026" w14:textId="77777777" w:rsidR="001B4520" w:rsidRPr="00296180" w:rsidRDefault="001B4520" w:rsidP="001B4520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lang w:val="uk-UA"/>
        </w:rPr>
      </w:pPr>
      <w:r w:rsidRPr="00296180">
        <w:rPr>
          <w:rFonts w:asciiTheme="majorBidi" w:hAnsiTheme="majorBidi" w:cstheme="majorBidi"/>
          <w:shd w:val="clear" w:color="auto" w:fill="FFFFFF"/>
          <w:lang w:val="uk-UA"/>
        </w:rPr>
        <w:t xml:space="preserve">Коли собака тривалий час приймає </w:t>
      </w:r>
      <w:r w:rsidRPr="00296180">
        <w:rPr>
          <w:rFonts w:asciiTheme="majorBidi" w:hAnsiTheme="majorBidi" w:cstheme="majorBidi"/>
          <w:lang w:val="uk-UA"/>
        </w:rPr>
        <w:t>препарат</w:t>
      </w:r>
      <w:r w:rsidRPr="00296180">
        <w:rPr>
          <w:rFonts w:asciiTheme="majorBidi" w:hAnsiTheme="majorBidi" w:cstheme="majorBidi"/>
          <w:shd w:val="clear" w:color="auto" w:fill="FFFFFF"/>
          <w:lang w:val="uk-UA"/>
        </w:rPr>
        <w:t>, необхідно проводити моніторинг стану організму шляхом контролю норм показників крові (загальний та біохімічний аналіз крові).</w:t>
      </w:r>
    </w:p>
    <w:p w14:paraId="16C2D8CE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5.6 Використання під час вагітності, лактації, несучості</w:t>
      </w:r>
    </w:p>
    <w:p w14:paraId="4C0416C0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/>
        </w:rPr>
      </w:pPr>
      <w:r w:rsidRPr="00296180">
        <w:rPr>
          <w:rFonts w:asciiTheme="majorBidi" w:hAnsiTheme="majorBidi" w:cstheme="majorBidi"/>
          <w:sz w:val="24"/>
          <w:szCs w:val="24"/>
          <w:shd w:val="clear" w:color="auto" w:fill="FFFFFF"/>
          <w:lang w:eastAsia="uk-UA"/>
        </w:rPr>
        <w:t>Безпечність застосування препарату в самок під час вагітності та лактації, а також самцям, яких використовують для розведення, не досліджувалось, тому його застосування у вищезазначених групах тварин не рекомендовано.</w:t>
      </w:r>
    </w:p>
    <w:p w14:paraId="53E99B44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5.7 Взаємодія з іншими засобами та інші форми взаємодії</w:t>
      </w:r>
    </w:p>
    <w:p w14:paraId="43F65F89" w14:textId="0C22FF5D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У польових дослідженнях, де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застосовували одночасно з ветеринарними лікарськими засобами, </w:t>
      </w:r>
      <w:r w:rsidR="000808BE" w:rsidRPr="00296180">
        <w:rPr>
          <w:rFonts w:asciiTheme="majorBidi" w:hAnsiTheme="majorBidi" w:cstheme="majorBidi"/>
          <w:sz w:val="24"/>
          <w:szCs w:val="24"/>
          <w:shd w:val="clear" w:color="auto" w:fill="FFFFFF"/>
        </w:rPr>
        <w:t>а саме,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ендо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- та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ектопаразитоциди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 протимікробні та протизапальні препарати, не спостерігалося жодних лікарських взаємодій.</w:t>
      </w:r>
    </w:p>
    <w:p w14:paraId="5DBBF0D2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Вивчали вплив введення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вакцинацію модифікованими живими вакцинами </w:t>
      </w:r>
      <w:r w:rsidRPr="00296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 </w:t>
      </w:r>
      <w:proofErr w:type="spellStart"/>
      <w:r w:rsidRPr="00296180">
        <w:rPr>
          <w:rFonts w:ascii="Times New Roman" w:hAnsi="Times New Roman" w:cs="Times New Roman"/>
          <w:sz w:val="24"/>
          <w:szCs w:val="24"/>
          <w:shd w:val="clear" w:color="auto" w:fill="FFFFFF"/>
        </w:rPr>
        <w:t>парвовірусного</w:t>
      </w:r>
      <w:proofErr w:type="spellEnd"/>
      <w:r w:rsidRPr="002961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ентериту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собак (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parvovirus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 CPV), чуми собак (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distemper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virus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 CDV) та парагрипу собак (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parainfluenza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CPI), а також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інактивованою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вакциною проти сказу (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rabies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296180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vaccine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RV), на 16-тижневих цуценятах, які не були вакциновані. Адекватна імунна відповідь (серологія) на вакцинацію CDV та CPV була досягнута, коли цуценятам вводили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у дозі 1,8 мг/кг маси тіла двічі на добу протягом 84 діб. Однак, результати цього дослідження показали зниження серологічної відповіді на вакцинацію CPI та RV у цуценят, які отримували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порівняно з контрольною групою, яка не отримувала лікування. Клінічне значення цих спостережуваних ефектів для тварин, вакцинованих під час введення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(відповідно до рекомендованого режиму дозування), є не визначеним.</w:t>
      </w:r>
    </w:p>
    <w:p w14:paraId="0E129144" w14:textId="77777777" w:rsidR="001B4520" w:rsidRPr="00296180" w:rsidRDefault="001B4520" w:rsidP="001B4520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5.8 Дози і способи введення тваринам різного віку</w:t>
      </w:r>
    </w:p>
    <w:p w14:paraId="795BA388" w14:textId="77777777" w:rsidR="001B4520" w:rsidRPr="00296180" w:rsidRDefault="001B4520" w:rsidP="001B452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lastRenderedPageBreak/>
        <w:t>Перорально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початковій дозі 0,4–0,6 мг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1 кг маси тіла тварини два рази на добу протягом 14 діб.</w:t>
      </w:r>
    </w:p>
    <w:p w14:paraId="4B9DA3B3" w14:textId="77777777" w:rsidR="001B4520" w:rsidRPr="00296180" w:rsidRDefault="001B4520" w:rsidP="001B45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Для підтримуючої терапії, в тій же дозі (0,4–0,6 мг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1 кг маси тіла) препарат задають один раз на добу. Необхідність тривалої підтримуючої терапії повинна ґрунтуватись на індивідуальній оцінці користі і ризику</w:t>
      </w:r>
      <w:r w:rsidRPr="00296180">
        <w:t xml:space="preserve"> </w:t>
      </w:r>
      <w:r w:rsidRPr="00296180">
        <w:rPr>
          <w:rFonts w:ascii="Times New Roman" w:hAnsi="Times New Roman" w:cs="Times New Roman"/>
          <w:sz w:val="24"/>
          <w:szCs w:val="24"/>
        </w:rPr>
        <w:t>проведеної лікарем ветеринарної медицини</w:t>
      </w:r>
      <w:r w:rsidRPr="002961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9DD746" w14:textId="77777777" w:rsidR="001B4520" w:rsidRPr="00296180" w:rsidRDefault="001B4520" w:rsidP="001B452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Препарат застосовують разом з кормом або без. Таблетки можуть бути розділені на рівні половинки.</w:t>
      </w:r>
    </w:p>
    <w:p w14:paraId="13DE05FA" w14:textId="3758A30C" w:rsidR="006909FF" w:rsidRPr="00296180" w:rsidRDefault="001B4520" w:rsidP="001B452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Дози </w:t>
      </w:r>
      <w:proofErr w:type="spellStart"/>
      <w:r w:rsidRPr="00296180">
        <w:rPr>
          <w:rFonts w:asciiTheme="majorBidi" w:hAnsiTheme="majorBidi" w:cstheme="majorBidi"/>
          <w:sz w:val="24"/>
          <w:szCs w:val="24"/>
        </w:rPr>
        <w:t>Оклавілю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 залежно від маси тіла собаки і дозування надані в таблиці нижче: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6909FF" w:rsidRPr="00296180" w14:paraId="462AA740" w14:textId="77777777" w:rsidTr="00B82F2B">
        <w:tc>
          <w:tcPr>
            <w:tcW w:w="3737" w:type="dxa"/>
            <w:gridSpan w:val="2"/>
            <w:vMerge w:val="restart"/>
          </w:tcPr>
          <w:p w14:paraId="4797FCDF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Маса тіла собаки, кг</w:t>
            </w:r>
          </w:p>
        </w:tc>
        <w:tc>
          <w:tcPr>
            <w:tcW w:w="5607" w:type="dxa"/>
            <w:gridSpan w:val="3"/>
          </w:tcPr>
          <w:p w14:paraId="2CCCC191" w14:textId="6E79B183" w:rsidR="006909FF" w:rsidRPr="00296180" w:rsidRDefault="006909FF" w:rsidP="006909FF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 xml:space="preserve">Разова доза </w:t>
            </w:r>
            <w:proofErr w:type="spellStart"/>
            <w:r w:rsidR="00FE4948" w:rsidRPr="00296180">
              <w:rPr>
                <w:rFonts w:asciiTheme="majorBidi" w:hAnsiTheme="majorBidi" w:cstheme="majorBidi"/>
                <w:color w:val="121212"/>
                <w:sz w:val="24"/>
                <w:szCs w:val="24"/>
              </w:rPr>
              <w:t>Оклавілю</w:t>
            </w:r>
            <w:proofErr w:type="spellEnd"/>
            <w:r w:rsidRPr="00296180">
              <w:rPr>
                <w:rFonts w:asciiTheme="majorBidi" w:hAnsiTheme="majorBidi" w:cstheme="majorBidi"/>
                <w:sz w:val="24"/>
                <w:szCs w:val="24"/>
              </w:rPr>
              <w:t xml:space="preserve"> – кількість таблеток на один прийом</w:t>
            </w:r>
          </w:p>
        </w:tc>
      </w:tr>
      <w:tr w:rsidR="006909FF" w:rsidRPr="00296180" w14:paraId="4BA6E766" w14:textId="77777777" w:rsidTr="00B82F2B">
        <w:tc>
          <w:tcPr>
            <w:tcW w:w="3737" w:type="dxa"/>
            <w:gridSpan w:val="2"/>
            <w:vMerge/>
          </w:tcPr>
          <w:p w14:paraId="6D5F1857" w14:textId="77777777" w:rsidR="006909FF" w:rsidRPr="00296180" w:rsidRDefault="006909FF" w:rsidP="006909FF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07" w:type="dxa"/>
            <w:gridSpan w:val="3"/>
          </w:tcPr>
          <w:p w14:paraId="7435B67E" w14:textId="77777777" w:rsidR="006909FF" w:rsidRPr="00296180" w:rsidRDefault="006909FF" w:rsidP="006909FF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 xml:space="preserve">Дозування – </w:t>
            </w:r>
            <w:proofErr w:type="spellStart"/>
            <w:r w:rsidRPr="00296180">
              <w:rPr>
                <w:rFonts w:asciiTheme="majorBidi" w:hAnsiTheme="majorBidi" w:cstheme="majorBidi"/>
                <w:sz w:val="24"/>
                <w:szCs w:val="24"/>
              </w:rPr>
              <w:t>оклацитиніб</w:t>
            </w:r>
            <w:proofErr w:type="spellEnd"/>
            <w:r w:rsidRPr="00296180">
              <w:rPr>
                <w:rFonts w:asciiTheme="majorBidi" w:hAnsiTheme="majorBidi" w:cstheme="majorBidi"/>
                <w:sz w:val="24"/>
                <w:szCs w:val="24"/>
              </w:rPr>
              <w:t>, мг/таблетку</w:t>
            </w:r>
          </w:p>
        </w:tc>
      </w:tr>
      <w:tr w:rsidR="006909FF" w:rsidRPr="00296180" w14:paraId="09CF37E8" w14:textId="77777777" w:rsidTr="00B82F2B">
        <w:tc>
          <w:tcPr>
            <w:tcW w:w="1868" w:type="dxa"/>
          </w:tcPr>
          <w:p w14:paraId="5D0815FC" w14:textId="06B720B4" w:rsidR="006909FF" w:rsidRPr="00296180" w:rsidRDefault="00806B88" w:rsidP="006909FF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Нижнє значення</w:t>
            </w:r>
          </w:p>
        </w:tc>
        <w:tc>
          <w:tcPr>
            <w:tcW w:w="1869" w:type="dxa"/>
          </w:tcPr>
          <w:p w14:paraId="1A404DE6" w14:textId="20867503" w:rsidR="006909FF" w:rsidRPr="00296180" w:rsidRDefault="00806B88" w:rsidP="006909FF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Верхнє значення</w:t>
            </w:r>
          </w:p>
        </w:tc>
        <w:tc>
          <w:tcPr>
            <w:tcW w:w="1869" w:type="dxa"/>
          </w:tcPr>
          <w:p w14:paraId="2FF932DE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3,6 мг</w:t>
            </w:r>
          </w:p>
        </w:tc>
        <w:tc>
          <w:tcPr>
            <w:tcW w:w="1869" w:type="dxa"/>
          </w:tcPr>
          <w:p w14:paraId="06213EF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5,4 мг</w:t>
            </w:r>
          </w:p>
        </w:tc>
        <w:tc>
          <w:tcPr>
            <w:tcW w:w="1869" w:type="dxa"/>
          </w:tcPr>
          <w:p w14:paraId="4479A582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16 мг</w:t>
            </w:r>
          </w:p>
        </w:tc>
      </w:tr>
      <w:tr w:rsidR="006909FF" w:rsidRPr="00296180" w14:paraId="1E81D2B7" w14:textId="77777777" w:rsidTr="00B82F2B">
        <w:tc>
          <w:tcPr>
            <w:tcW w:w="1868" w:type="dxa"/>
          </w:tcPr>
          <w:p w14:paraId="6DA0844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3,0</w:t>
            </w:r>
          </w:p>
        </w:tc>
        <w:tc>
          <w:tcPr>
            <w:tcW w:w="1869" w:type="dxa"/>
          </w:tcPr>
          <w:p w14:paraId="41FFEFE3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4,4</w:t>
            </w:r>
          </w:p>
        </w:tc>
        <w:tc>
          <w:tcPr>
            <w:tcW w:w="1869" w:type="dxa"/>
          </w:tcPr>
          <w:p w14:paraId="12A2AB9D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  <w:tc>
          <w:tcPr>
            <w:tcW w:w="1869" w:type="dxa"/>
          </w:tcPr>
          <w:p w14:paraId="059E58D7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26C2E96D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6909FF" w:rsidRPr="00296180" w14:paraId="274D8E14" w14:textId="77777777" w:rsidTr="00B82F2B">
        <w:tc>
          <w:tcPr>
            <w:tcW w:w="1868" w:type="dxa"/>
          </w:tcPr>
          <w:p w14:paraId="757D8155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4,5</w:t>
            </w:r>
          </w:p>
        </w:tc>
        <w:tc>
          <w:tcPr>
            <w:tcW w:w="1869" w:type="dxa"/>
          </w:tcPr>
          <w:p w14:paraId="6AD78553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5,9</w:t>
            </w:r>
          </w:p>
        </w:tc>
        <w:tc>
          <w:tcPr>
            <w:tcW w:w="1869" w:type="dxa"/>
          </w:tcPr>
          <w:p w14:paraId="6922AD46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725E3476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  <w:tc>
          <w:tcPr>
            <w:tcW w:w="1869" w:type="dxa"/>
          </w:tcPr>
          <w:p w14:paraId="230F9180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6909FF" w:rsidRPr="00296180" w14:paraId="417A1CCE" w14:textId="77777777" w:rsidTr="00B82F2B">
        <w:tc>
          <w:tcPr>
            <w:tcW w:w="1868" w:type="dxa"/>
          </w:tcPr>
          <w:p w14:paraId="6550600B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6,0</w:t>
            </w:r>
          </w:p>
        </w:tc>
        <w:tc>
          <w:tcPr>
            <w:tcW w:w="1869" w:type="dxa"/>
          </w:tcPr>
          <w:p w14:paraId="57816A79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8,9</w:t>
            </w:r>
          </w:p>
        </w:tc>
        <w:tc>
          <w:tcPr>
            <w:tcW w:w="1869" w:type="dxa"/>
          </w:tcPr>
          <w:p w14:paraId="1ADE940D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67E2865F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7849C792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6909FF" w:rsidRPr="00296180" w14:paraId="64E3C747" w14:textId="77777777" w:rsidTr="00B82F2B">
        <w:tc>
          <w:tcPr>
            <w:tcW w:w="1868" w:type="dxa"/>
          </w:tcPr>
          <w:p w14:paraId="04AFF2E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9,0</w:t>
            </w:r>
          </w:p>
        </w:tc>
        <w:tc>
          <w:tcPr>
            <w:tcW w:w="1869" w:type="dxa"/>
          </w:tcPr>
          <w:p w14:paraId="6D06B9F2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13,4</w:t>
            </w:r>
          </w:p>
        </w:tc>
        <w:tc>
          <w:tcPr>
            <w:tcW w:w="1869" w:type="dxa"/>
          </w:tcPr>
          <w:p w14:paraId="361868EF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617E6194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487252E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6909FF" w:rsidRPr="00296180" w14:paraId="2FADA76F" w14:textId="77777777" w:rsidTr="00B82F2B">
        <w:tc>
          <w:tcPr>
            <w:tcW w:w="1868" w:type="dxa"/>
          </w:tcPr>
          <w:p w14:paraId="1160DAB1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13,5</w:t>
            </w:r>
          </w:p>
        </w:tc>
        <w:tc>
          <w:tcPr>
            <w:tcW w:w="1869" w:type="dxa"/>
          </w:tcPr>
          <w:p w14:paraId="4BB2815B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19,9</w:t>
            </w:r>
          </w:p>
        </w:tc>
        <w:tc>
          <w:tcPr>
            <w:tcW w:w="1869" w:type="dxa"/>
          </w:tcPr>
          <w:p w14:paraId="1A195DB9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5A2D37A1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13BC08E3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</w:tr>
      <w:tr w:rsidR="006909FF" w:rsidRPr="00296180" w14:paraId="1E0B863B" w14:textId="77777777" w:rsidTr="00B82F2B">
        <w:tc>
          <w:tcPr>
            <w:tcW w:w="1868" w:type="dxa"/>
          </w:tcPr>
          <w:p w14:paraId="33FD254B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20,0</w:t>
            </w:r>
          </w:p>
        </w:tc>
        <w:tc>
          <w:tcPr>
            <w:tcW w:w="1869" w:type="dxa"/>
          </w:tcPr>
          <w:p w14:paraId="118C6B2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26,9</w:t>
            </w:r>
          </w:p>
        </w:tc>
        <w:tc>
          <w:tcPr>
            <w:tcW w:w="1869" w:type="dxa"/>
          </w:tcPr>
          <w:p w14:paraId="52F7F795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0DE1FA5B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14:paraId="314E25C3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6909FF" w:rsidRPr="00296180" w14:paraId="6017C97D" w14:textId="77777777" w:rsidTr="00B82F2B">
        <w:tc>
          <w:tcPr>
            <w:tcW w:w="1868" w:type="dxa"/>
          </w:tcPr>
          <w:p w14:paraId="3B29377C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27,0</w:t>
            </w:r>
          </w:p>
        </w:tc>
        <w:tc>
          <w:tcPr>
            <w:tcW w:w="1869" w:type="dxa"/>
          </w:tcPr>
          <w:p w14:paraId="374276C6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39,9</w:t>
            </w:r>
          </w:p>
        </w:tc>
        <w:tc>
          <w:tcPr>
            <w:tcW w:w="1869" w:type="dxa"/>
          </w:tcPr>
          <w:p w14:paraId="0BD364E5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47D26C4C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6E9187E8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6909FF" w:rsidRPr="00296180" w14:paraId="541141E7" w14:textId="77777777" w:rsidTr="00B82F2B">
        <w:tc>
          <w:tcPr>
            <w:tcW w:w="1868" w:type="dxa"/>
          </w:tcPr>
          <w:p w14:paraId="0B99A425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40,0</w:t>
            </w:r>
          </w:p>
        </w:tc>
        <w:tc>
          <w:tcPr>
            <w:tcW w:w="1869" w:type="dxa"/>
          </w:tcPr>
          <w:p w14:paraId="203AC9DA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54,9</w:t>
            </w:r>
          </w:p>
        </w:tc>
        <w:tc>
          <w:tcPr>
            <w:tcW w:w="1869" w:type="dxa"/>
          </w:tcPr>
          <w:p w14:paraId="0A5E82B2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66C8999D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38BA09A8" w14:textId="39A61F95" w:rsidR="006909FF" w:rsidRPr="00296180" w:rsidRDefault="00E86559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sup>
                    <m:f>
                      <m:fPr>
                        <m:type m:val="skw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6909FF" w:rsidRPr="00296180" w14:paraId="1C3BCC7C" w14:textId="77777777" w:rsidTr="00B82F2B">
        <w:tc>
          <w:tcPr>
            <w:tcW w:w="1868" w:type="dxa"/>
          </w:tcPr>
          <w:p w14:paraId="351A2CE3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55,0</w:t>
            </w:r>
          </w:p>
        </w:tc>
        <w:tc>
          <w:tcPr>
            <w:tcW w:w="1869" w:type="dxa"/>
          </w:tcPr>
          <w:p w14:paraId="4838BE81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80,0</w:t>
            </w:r>
          </w:p>
        </w:tc>
        <w:tc>
          <w:tcPr>
            <w:tcW w:w="1869" w:type="dxa"/>
          </w:tcPr>
          <w:p w14:paraId="43F143FD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19CA14AF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788833E5" w14:textId="77777777" w:rsidR="006909FF" w:rsidRPr="00296180" w:rsidRDefault="006909FF" w:rsidP="004C5CBE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618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</w:tbl>
    <w:p w14:paraId="418D2F00" w14:textId="40AB7CD3" w:rsidR="00BD58C1" w:rsidRPr="00296180" w:rsidRDefault="00BD58C1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5.9 Передозування (симптоми, невідкладні заходи, антидоти)</w:t>
      </w:r>
    </w:p>
    <w:p w14:paraId="67B76CB5" w14:textId="67D01CB5" w:rsidR="006909FF" w:rsidRPr="00296180" w:rsidRDefault="006909FF" w:rsidP="006909F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За результатами досліджень передозувань (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вводили здоровим собакам, породи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бігль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 віком 1 рік, двічі на добу протягом 6 тижнів у дозі 0,6 мг на 1 кг маси тіла, а потім один раз на добу протягом 20 тижнів у дозі 0,3 мг на 1 кг маси тіла) спостерігали зміни клінічного стану, що вірогідно пов’язані із застосуванням препарату, а саме</w:t>
      </w:r>
      <w:r w:rsidR="00BC21C6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,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місцеві алопеції, папіломи, дерматит, </w:t>
      </w:r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еритему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садн</w:t>
      </w:r>
      <w:r w:rsidR="007E627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proofErr w:type="spellStart"/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міжпальцеву</w:t>
      </w:r>
      <w:proofErr w:type="spellEnd"/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кісту 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та набряк лап.</w:t>
      </w:r>
    </w:p>
    <w:p w14:paraId="18431D89" w14:textId="0BE11C96" w:rsidR="00725042" w:rsidRPr="00296180" w:rsidRDefault="006909FF" w:rsidP="0072504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Дерматит у більшості випадків був вторинним по відношенню до </w:t>
      </w:r>
      <w:proofErr w:type="spellStart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міжпальцевого</w:t>
      </w:r>
      <w:proofErr w:type="spellEnd"/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фурункульозу на одній або більше лапах, а його частота збільшувалася при збільшенні дози. Збільшення лімфатичних периферичних вузлів було </w:t>
      </w:r>
      <w:proofErr w:type="spellStart"/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відмічено</w:t>
      </w:r>
      <w:proofErr w:type="spellEnd"/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0808BE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в</w:t>
      </w:r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тварин </w:t>
      </w:r>
      <w:r w:rsidR="000808BE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у</w:t>
      </w:r>
      <w:r w:rsidR="004A0DD3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сіх дослідних груп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. Кількість таких явищ 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ставала частішою при збільшенні дози, що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часто спостері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гали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разо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м з </w:t>
      </w:r>
      <w:proofErr w:type="spellStart"/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міжпальцевим</w:t>
      </w:r>
      <w:proofErr w:type="spellEnd"/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фурункульозом.</w:t>
      </w:r>
    </w:p>
    <w:p w14:paraId="056DBB69" w14:textId="4A73D82A" w:rsidR="00593BF7" w:rsidRPr="00296180" w:rsidRDefault="006909FF" w:rsidP="0072504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Специ</w:t>
      </w:r>
      <w:r w:rsidR="00BC21C6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фічних антидотів немає, тому в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разі передозування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застос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овують симптоматичне лікування.</w:t>
      </w:r>
    </w:p>
    <w:p w14:paraId="1BE2A28C" w14:textId="5DBB685C" w:rsidR="00BD58C1" w:rsidRPr="00296180" w:rsidRDefault="00BD58C1" w:rsidP="00A2565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5.10 Спеціальні застереження</w:t>
      </w:r>
    </w:p>
    <w:p w14:paraId="608293F3" w14:textId="521345B1" w:rsidR="00BD58C1" w:rsidRPr="00296180" w:rsidRDefault="00620543" w:rsidP="00620543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Немає.</w:t>
      </w:r>
    </w:p>
    <w:p w14:paraId="0C72A8DF" w14:textId="77777777" w:rsidR="00BD58C1" w:rsidRPr="00296180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5.11 Період виведення (</w:t>
      </w:r>
      <w:proofErr w:type="spellStart"/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каренції</w:t>
      </w:r>
      <w:proofErr w:type="spellEnd"/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)</w:t>
      </w:r>
    </w:p>
    <w:p w14:paraId="38E29D1B" w14:textId="2648FB35" w:rsidR="00BD58C1" w:rsidRPr="00296180" w:rsidRDefault="00FB7F68" w:rsidP="00725042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Відсутній</w:t>
      </w:r>
      <w:r w:rsidR="00725042" w:rsidRPr="00296180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68B1D71E" w14:textId="77777777" w:rsidR="00BD58C1" w:rsidRPr="00296180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5.12 Спеціальні застереження для осіб і обслуговуючого персоналу</w:t>
      </w:r>
    </w:p>
    <w:p w14:paraId="47112BC3" w14:textId="77777777" w:rsidR="00725042" w:rsidRPr="00296180" w:rsidRDefault="00725042" w:rsidP="007250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96180">
        <w:rPr>
          <w:rFonts w:asciiTheme="majorBidi" w:hAnsiTheme="majorBidi" w:cstheme="majorBidi"/>
          <w:sz w:val="24"/>
          <w:szCs w:val="24"/>
        </w:rPr>
        <w:t>Потрібно вимити руки після введення препарату.</w:t>
      </w:r>
    </w:p>
    <w:p w14:paraId="09969097" w14:textId="574FD9FC" w:rsidR="00BD58C1" w:rsidRPr="00296180" w:rsidRDefault="00725042" w:rsidP="00FE4948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296180">
        <w:rPr>
          <w:rFonts w:asciiTheme="majorBidi" w:hAnsiTheme="majorBidi" w:cstheme="majorBidi"/>
          <w:sz w:val="24"/>
          <w:szCs w:val="24"/>
        </w:rPr>
        <w:t xml:space="preserve">У разі вживання людиною препарату </w:t>
      </w:r>
      <w:proofErr w:type="spellStart"/>
      <w:r w:rsidR="00FE4948" w:rsidRPr="00296180">
        <w:rPr>
          <w:rFonts w:asciiTheme="majorBidi" w:hAnsiTheme="majorBidi" w:cstheme="majorBidi"/>
          <w:color w:val="121212"/>
          <w:sz w:val="24"/>
          <w:szCs w:val="24"/>
        </w:rPr>
        <w:t>Оклавіль</w:t>
      </w:r>
      <w:proofErr w:type="spellEnd"/>
      <w:r w:rsidRPr="00296180">
        <w:rPr>
          <w:rFonts w:asciiTheme="majorBidi" w:hAnsiTheme="majorBidi" w:cstheme="majorBidi"/>
          <w:sz w:val="24"/>
          <w:szCs w:val="24"/>
        </w:rPr>
        <w:t xml:space="preserve"> таблетки для собак потрібно негайно звернутис</w:t>
      </w:r>
      <w:r w:rsidR="00EE4DF5" w:rsidRPr="00296180">
        <w:rPr>
          <w:rFonts w:asciiTheme="majorBidi" w:hAnsiTheme="majorBidi" w:cstheme="majorBidi"/>
          <w:sz w:val="24"/>
          <w:szCs w:val="24"/>
        </w:rPr>
        <w:t>я до лікаря і показати листівку-</w:t>
      </w:r>
      <w:r w:rsidRPr="00296180">
        <w:rPr>
          <w:rFonts w:asciiTheme="majorBidi" w:hAnsiTheme="majorBidi" w:cstheme="majorBidi"/>
          <w:sz w:val="24"/>
          <w:szCs w:val="24"/>
        </w:rPr>
        <w:t>вкладку.</w:t>
      </w:r>
    </w:p>
    <w:p w14:paraId="7035998A" w14:textId="77777777" w:rsidR="00BD58C1" w:rsidRPr="00296180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 Фармацевтичні особливості</w:t>
      </w:r>
    </w:p>
    <w:p w14:paraId="5350352C" w14:textId="77777777" w:rsidR="00BD58C1" w:rsidRPr="00296180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6.1 Форми несумісності (основні)</w:t>
      </w:r>
    </w:p>
    <w:p w14:paraId="4714C482" w14:textId="77777777" w:rsidR="00BD58C1" w:rsidRPr="00296180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296180">
        <w:rPr>
          <w:rFonts w:asciiTheme="majorBidi" w:eastAsia="Times New Roman" w:hAnsiTheme="majorBidi" w:cstheme="majorBidi"/>
          <w:snapToGrid w:val="0"/>
          <w:sz w:val="24"/>
          <w:szCs w:val="24"/>
        </w:rPr>
        <w:t>Не описані.</w:t>
      </w:r>
    </w:p>
    <w:p w14:paraId="799E09DC" w14:textId="77777777" w:rsidR="00CA4F88" w:rsidRDefault="00CA4F88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</w:p>
    <w:p w14:paraId="54FC40D9" w14:textId="77777777" w:rsidR="00CA4F88" w:rsidRDefault="00CA4F88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</w:p>
    <w:p w14:paraId="02C37BCF" w14:textId="25053CDA" w:rsidR="00BD58C1" w:rsidRPr="00296180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6.2 Термін придатності</w:t>
      </w:r>
    </w:p>
    <w:p w14:paraId="208399D7" w14:textId="2FD40F98" w:rsidR="003F4489" w:rsidRPr="00296180" w:rsidRDefault="006E01B8" w:rsidP="003F4489">
      <w:pPr>
        <w:widowControl w:val="0"/>
        <w:spacing w:after="0" w:line="240" w:lineRule="auto"/>
        <w:jc w:val="both"/>
        <w:rPr>
          <w:rFonts w:asciiTheme="majorBidi" w:eastAsia="CG Times" w:hAnsiTheme="majorBidi" w:cstheme="majorBidi"/>
          <w:sz w:val="24"/>
          <w:szCs w:val="24"/>
          <w:lang w:eastAsia="ru-RU"/>
        </w:rPr>
      </w:pPr>
      <w:r w:rsidRPr="00296180">
        <w:rPr>
          <w:rFonts w:asciiTheme="majorBidi" w:eastAsia="CG Times" w:hAnsiTheme="majorBidi" w:cstheme="majorBidi"/>
          <w:sz w:val="24"/>
          <w:szCs w:val="24"/>
          <w:lang w:eastAsia="ru-RU"/>
        </w:rPr>
        <w:lastRenderedPageBreak/>
        <w:t>3</w:t>
      </w:r>
      <w:r w:rsidR="003F4489" w:rsidRPr="00296180">
        <w:rPr>
          <w:rFonts w:asciiTheme="majorBidi" w:eastAsia="CG Times" w:hAnsiTheme="majorBidi" w:cstheme="majorBidi"/>
          <w:sz w:val="24"/>
          <w:szCs w:val="24"/>
          <w:lang w:eastAsia="ru-RU"/>
        </w:rPr>
        <w:t xml:space="preserve"> роки.</w:t>
      </w:r>
    </w:p>
    <w:p w14:paraId="378C8194" w14:textId="77777777" w:rsidR="00BD58C1" w:rsidRPr="00296180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6.3 Особливі заходи зберігання</w:t>
      </w:r>
    </w:p>
    <w:p w14:paraId="5478C7F1" w14:textId="6B21F8F5" w:rsidR="00725042" w:rsidRPr="00296180" w:rsidRDefault="00725042" w:rsidP="00725042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>Зберігати в сухому</w:t>
      </w:r>
      <w:r w:rsidR="00BC21C6"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>,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темному</w:t>
      </w:r>
      <w:r w:rsidR="00BC21C6"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місці при температурі від </w:t>
      </w:r>
      <w:r w:rsidR="00CA4F88" w:rsidRPr="00CA4F88">
        <w:rPr>
          <w:rFonts w:asciiTheme="majorBidi" w:eastAsia="Times New Roman" w:hAnsiTheme="majorBidi" w:cstheme="majorBidi"/>
          <w:sz w:val="24"/>
          <w:szCs w:val="24"/>
          <w:lang w:eastAsia="ar-SA"/>
        </w:rPr>
        <w:t>15 °С до 25  °С.</w:t>
      </w:r>
      <w:r w:rsidR="00BC21C6"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Зберігати </w:t>
      </w:r>
      <w:r w:rsidR="00296180"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>у</w:t>
      </w:r>
      <w:r w:rsidRPr="00296180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недоступному для дітей місці.</w:t>
      </w:r>
    </w:p>
    <w:p w14:paraId="3487EA76" w14:textId="292796E7" w:rsidR="00264B9A" w:rsidRPr="00296180" w:rsidRDefault="00264B9A" w:rsidP="00264B9A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296180">
        <w:rPr>
          <w:rFonts w:asciiTheme="majorBidi" w:hAnsiTheme="majorBidi" w:cstheme="majorBidi"/>
          <w:sz w:val="24"/>
          <w:szCs w:val="24"/>
        </w:rPr>
        <w:t>Невикористану половинку таблетки слід зберігати в оригінальному блістері при кімнатній температурі (до 25 °С</w:t>
      </w:r>
      <w:r w:rsidR="00BC21C6" w:rsidRPr="00296180">
        <w:rPr>
          <w:rFonts w:asciiTheme="majorBidi" w:hAnsiTheme="majorBidi" w:cstheme="majorBidi"/>
          <w:sz w:val="24"/>
          <w:szCs w:val="24"/>
        </w:rPr>
        <w:t>) та використати протягом 3 діб</w:t>
      </w:r>
      <w:r w:rsidRPr="00296180">
        <w:rPr>
          <w:rFonts w:asciiTheme="majorBidi" w:hAnsiTheme="majorBidi" w:cstheme="majorBidi"/>
          <w:sz w:val="24"/>
          <w:szCs w:val="24"/>
        </w:rPr>
        <w:t xml:space="preserve"> після розламування.</w:t>
      </w:r>
    </w:p>
    <w:p w14:paraId="3EFA9C90" w14:textId="7F219425" w:rsidR="00BD58C1" w:rsidRPr="00296180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6.4 Природа та склад контейнера первинного пакування</w:t>
      </w:r>
    </w:p>
    <w:p w14:paraId="2B646AF9" w14:textId="399F5805" w:rsidR="00725042" w:rsidRPr="00296180" w:rsidRDefault="00BC21C6" w:rsidP="00725042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По 10 таблеток у</w:t>
      </w:r>
      <w:r w:rsidR="00725042" w:rsidRPr="00296180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 xml:space="preserve"> блістері.</w:t>
      </w:r>
    </w:p>
    <w:p w14:paraId="68FB94E3" w14:textId="4668973E" w:rsidR="008D7EAD" w:rsidRPr="00296180" w:rsidRDefault="00725042" w:rsidP="007250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По 2 блістери разом з листівкою-вкладкою в пачці з картону.</w:t>
      </w:r>
    </w:p>
    <w:p w14:paraId="6D498DD0" w14:textId="14DC7830" w:rsidR="00BD58C1" w:rsidRPr="00296180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296180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6.5 Особливі заходи безпеки при поводженні з невикористаним препаратом або із його залишками</w:t>
      </w:r>
    </w:p>
    <w:p w14:paraId="39D261B2" w14:textId="77777777" w:rsidR="00BD58C1" w:rsidRPr="00296180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296180">
        <w:rPr>
          <w:rFonts w:asciiTheme="majorBidi" w:eastAsia="Times New Roman" w:hAnsiTheme="majorBidi" w:cstheme="majorBidi"/>
          <w:snapToGrid w:val="0"/>
          <w:sz w:val="24"/>
          <w:szCs w:val="24"/>
        </w:rPr>
        <w:t>Порожню упаковку та залишки невикористаного препарату потрібно утилізувати згідно з чинним законодавством.</w:t>
      </w:r>
    </w:p>
    <w:p w14:paraId="56FAAA53" w14:textId="77777777" w:rsidR="00BD58C1" w:rsidRPr="00B85235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r w:rsidRPr="00296180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7. Назва і місцезнаходження власника реєстраційного</w:t>
      </w:r>
      <w:r w:rsidRPr="00B85235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 xml:space="preserve"> посвідчення</w:t>
      </w:r>
    </w:p>
    <w:p w14:paraId="696528FD" w14:textId="369AD89F" w:rsidR="00BD58C1" w:rsidRPr="00B85235" w:rsidRDefault="00BD58C1" w:rsidP="00EE4DF5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ТОВ «АРТЕРІУМ ЛТД», 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Україна, </w:t>
      </w:r>
      <w:r w:rsidR="00EE4DF5"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01032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,</w:t>
      </w:r>
      <w:r w:rsidR="00EE4DF5"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 </w:t>
      </w:r>
      <w:r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м.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 Київ, вул. Саксаганського, 139</w:t>
      </w:r>
      <w:r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.</w:t>
      </w:r>
    </w:p>
    <w:p w14:paraId="68E24EE5" w14:textId="77777777" w:rsidR="00BD58C1" w:rsidRPr="00B85235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8. Назва і місцезнаходження виробника</w:t>
      </w:r>
    </w:p>
    <w:p w14:paraId="4CF990FD" w14:textId="30767AB9" w:rsidR="00BD58C1" w:rsidRPr="00B85235" w:rsidRDefault="00BD58C1" w:rsidP="00EE4DF5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/>
        </w:rPr>
      </w:pPr>
      <w:r w:rsidRPr="00B85235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ПАТ </w:t>
      </w:r>
      <w:r w:rsidRPr="00B85235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«</w:t>
      </w:r>
      <w:proofErr w:type="spellStart"/>
      <w:r w:rsidR="00767A6D" w:rsidRPr="00B85235">
        <w:rPr>
          <w:rFonts w:asciiTheme="majorBidi" w:eastAsia="Times New Roman" w:hAnsiTheme="majorBidi" w:cstheme="majorBidi"/>
          <w:sz w:val="24"/>
          <w:szCs w:val="24"/>
          <w:lang w:eastAsia="ru-RU"/>
        </w:rPr>
        <w:t>Київмедпрепарат</w:t>
      </w:r>
      <w:proofErr w:type="spellEnd"/>
      <w:r w:rsidRPr="00B85235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»</w:t>
      </w:r>
      <w:r w:rsidRPr="00B85235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Україна, </w:t>
      </w:r>
      <w:r w:rsidR="00EE4DF5"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01032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,</w:t>
      </w:r>
      <w:r w:rsidR="00EE4DF5" w:rsidRPr="00B8523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 м.</w:t>
      </w:r>
      <w:r w:rsidR="00EE4DF5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 Київ, вул. Саксаганського, 139</w:t>
      </w:r>
      <w:r w:rsidRPr="00B85235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  <w:r w:rsidRPr="00B85235">
        <w:rPr>
          <w:rFonts w:asciiTheme="majorBidi" w:eastAsia="Times New Roman" w:hAnsiTheme="majorBidi" w:cstheme="majorBidi"/>
          <w:b/>
          <w:color w:val="000000"/>
          <w:spacing w:val="-2"/>
          <w:sz w:val="24"/>
          <w:szCs w:val="24"/>
          <w:lang w:eastAsia="ru-RU"/>
        </w:rPr>
        <w:t xml:space="preserve"> </w:t>
      </w:r>
    </w:p>
    <w:p w14:paraId="1D3C2609" w14:textId="77777777" w:rsidR="00BD58C1" w:rsidRPr="00FE2C16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9. Додаткова інформація</w:t>
      </w:r>
    </w:p>
    <w:p w14:paraId="278BDEDE" w14:textId="77777777" w:rsidR="003C4263" w:rsidRPr="00FE2C16" w:rsidRDefault="003C4263">
      <w:pPr>
        <w:rPr>
          <w:rFonts w:asciiTheme="majorBidi" w:hAnsiTheme="majorBidi" w:cstheme="majorBidi"/>
          <w:sz w:val="24"/>
          <w:szCs w:val="24"/>
        </w:rPr>
      </w:pPr>
    </w:p>
    <w:sectPr w:rsidR="003C4263" w:rsidRPr="00FE2C16" w:rsidSect="00887320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B9C29" w14:textId="77777777" w:rsidR="00E86559" w:rsidRDefault="00E86559" w:rsidP="00443049">
      <w:pPr>
        <w:spacing w:after="0" w:line="240" w:lineRule="auto"/>
      </w:pPr>
      <w:r>
        <w:separator/>
      </w:r>
    </w:p>
  </w:endnote>
  <w:endnote w:type="continuationSeparator" w:id="0">
    <w:p w14:paraId="6BCA9EB0" w14:textId="77777777" w:rsidR="00E86559" w:rsidRDefault="00E86559" w:rsidP="0044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305959"/>
      <w:docPartObj>
        <w:docPartGallery w:val="Page Numbers (Bottom of Page)"/>
        <w:docPartUnique/>
      </w:docPartObj>
    </w:sdtPr>
    <w:sdtEndPr/>
    <w:sdtContent>
      <w:p w14:paraId="429CC26F" w14:textId="09009C4B" w:rsidR="00770580" w:rsidRDefault="0077058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320" w:rsidRPr="00887320">
          <w:rPr>
            <w:noProof/>
            <w:lang w:val="ru-RU"/>
          </w:rPr>
          <w:t>4</w:t>
        </w:r>
        <w:r>
          <w:fldChar w:fldCharType="end"/>
        </w:r>
      </w:p>
    </w:sdtContent>
  </w:sdt>
  <w:p w14:paraId="01E28D3D" w14:textId="77777777" w:rsidR="00770580" w:rsidRDefault="0077058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23803" w14:textId="77777777" w:rsidR="00E86559" w:rsidRDefault="00E86559" w:rsidP="00443049">
      <w:pPr>
        <w:spacing w:after="0" w:line="240" w:lineRule="auto"/>
      </w:pPr>
      <w:r>
        <w:separator/>
      </w:r>
    </w:p>
  </w:footnote>
  <w:footnote w:type="continuationSeparator" w:id="0">
    <w:p w14:paraId="4A632B17" w14:textId="77777777" w:rsidR="00E86559" w:rsidRDefault="00E86559" w:rsidP="00443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AE867" w14:textId="69BD5150" w:rsidR="003D3474" w:rsidRPr="00591CB6" w:rsidRDefault="00887320" w:rsidP="003D3474">
    <w:pPr>
      <w:spacing w:after="0" w:line="240" w:lineRule="auto"/>
      <w:ind w:firstLine="567"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>Продовження додатку</w:t>
    </w:r>
    <w:r w:rsidR="003D3474"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1</w:t>
    </w:r>
  </w:p>
  <w:p w14:paraId="6A62A7E2" w14:textId="1952FE90" w:rsidR="003D3474" w:rsidRPr="00591CB6" w:rsidRDefault="00296180" w:rsidP="00296180">
    <w:pPr>
      <w:spacing w:after="0" w:line="240" w:lineRule="auto"/>
      <w:ind w:firstLine="567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</w:t>
    </w:r>
    <w:r w:rsidR="00CA4F88" w:rsidRPr="00CA4F88">
      <w:rPr>
        <w:rFonts w:ascii="Times New Roman" w:eastAsia="Times New Roman" w:hAnsi="Times New Roman" w:cs="Times New Roman"/>
        <w:sz w:val="24"/>
        <w:szCs w:val="24"/>
        <w:lang w:val="ru-RU" w:eastAsia="ru-RU"/>
      </w:rPr>
      <w:t xml:space="preserve">                                                </w:t>
    </w:r>
    <w:r w:rsidR="003D3474"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до реєстраційного посвідчення </w:t>
    </w:r>
    <w:r w:rsidR="00CA4F88" w:rsidRPr="00CA4F88">
      <w:rPr>
        <w:rFonts w:ascii="Times New Roman" w:eastAsia="Times New Roman" w:hAnsi="Times New Roman" w:cs="Times New Roman"/>
        <w:sz w:val="24"/>
        <w:szCs w:val="24"/>
        <w:lang w:eastAsia="ru-RU"/>
      </w:rPr>
      <w:t>АВ-09862-01-25</w:t>
    </w:r>
  </w:p>
  <w:p w14:paraId="4D63E850" w14:textId="77777777" w:rsidR="003D3474" w:rsidRDefault="003D347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B78B3" w14:textId="00812CB0" w:rsidR="00887320" w:rsidRPr="00591CB6" w:rsidRDefault="00887320" w:rsidP="00887320">
    <w:pPr>
      <w:spacing w:after="0" w:line="240" w:lineRule="auto"/>
      <w:ind w:firstLine="567"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Додаток 1 </w:t>
    </w:r>
  </w:p>
  <w:p w14:paraId="1C724CA9" w14:textId="77777777" w:rsidR="00887320" w:rsidRPr="00591CB6" w:rsidRDefault="00887320" w:rsidP="00887320">
    <w:pPr>
      <w:spacing w:after="0" w:line="240" w:lineRule="auto"/>
      <w:ind w:firstLine="567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</w:t>
    </w:r>
    <w:r w:rsidRPr="00CA4F88">
      <w:rPr>
        <w:rFonts w:ascii="Times New Roman" w:eastAsia="Times New Roman" w:hAnsi="Times New Roman" w:cs="Times New Roman"/>
        <w:sz w:val="24"/>
        <w:szCs w:val="24"/>
        <w:lang w:val="ru-RU" w:eastAsia="ru-RU"/>
      </w:rPr>
      <w:t xml:space="preserve">                                                </w:t>
    </w: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до реєстраційного посвідчення </w:t>
    </w:r>
    <w:r w:rsidRPr="00CA4F88">
      <w:rPr>
        <w:rFonts w:ascii="Times New Roman" w:eastAsia="Times New Roman" w:hAnsi="Times New Roman" w:cs="Times New Roman"/>
        <w:sz w:val="24"/>
        <w:szCs w:val="24"/>
        <w:lang w:eastAsia="ru-RU"/>
      </w:rPr>
      <w:t>АВ-09862-01-25</w:t>
    </w:r>
  </w:p>
  <w:p w14:paraId="054C9D63" w14:textId="77777777" w:rsidR="00887320" w:rsidRDefault="0088732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700F"/>
    <w:multiLevelType w:val="multilevel"/>
    <w:tmpl w:val="8B6A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143A2"/>
    <w:multiLevelType w:val="hybridMultilevel"/>
    <w:tmpl w:val="AA064A3E"/>
    <w:lvl w:ilvl="0" w:tplc="60F65C5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A5"/>
    <w:rsid w:val="00027AB5"/>
    <w:rsid w:val="00062E73"/>
    <w:rsid w:val="000808BE"/>
    <w:rsid w:val="000A1EF6"/>
    <w:rsid w:val="000A3D5D"/>
    <w:rsid w:val="000D11BC"/>
    <w:rsid w:val="001227E2"/>
    <w:rsid w:val="00126D39"/>
    <w:rsid w:val="00176B51"/>
    <w:rsid w:val="001B136D"/>
    <w:rsid w:val="001B306E"/>
    <w:rsid w:val="001B4520"/>
    <w:rsid w:val="001B4C02"/>
    <w:rsid w:val="00217708"/>
    <w:rsid w:val="0022670F"/>
    <w:rsid w:val="00264B9A"/>
    <w:rsid w:val="00271859"/>
    <w:rsid w:val="00281F70"/>
    <w:rsid w:val="00296180"/>
    <w:rsid w:val="002B050F"/>
    <w:rsid w:val="002C2C86"/>
    <w:rsid w:val="00370908"/>
    <w:rsid w:val="003C4263"/>
    <w:rsid w:val="003D2C3A"/>
    <w:rsid w:val="003D3474"/>
    <w:rsid w:val="003F4489"/>
    <w:rsid w:val="00443049"/>
    <w:rsid w:val="004532B2"/>
    <w:rsid w:val="0047708F"/>
    <w:rsid w:val="00490F4C"/>
    <w:rsid w:val="004A0DD3"/>
    <w:rsid w:val="004C5CBE"/>
    <w:rsid w:val="004E09B4"/>
    <w:rsid w:val="00515138"/>
    <w:rsid w:val="00556EA0"/>
    <w:rsid w:val="00593BF7"/>
    <w:rsid w:val="00620543"/>
    <w:rsid w:val="006909FF"/>
    <w:rsid w:val="006A322B"/>
    <w:rsid w:val="006B15E9"/>
    <w:rsid w:val="006D1E98"/>
    <w:rsid w:val="006D28D4"/>
    <w:rsid w:val="006E01B8"/>
    <w:rsid w:val="00703652"/>
    <w:rsid w:val="00725042"/>
    <w:rsid w:val="007600A1"/>
    <w:rsid w:val="00767A6D"/>
    <w:rsid w:val="00770580"/>
    <w:rsid w:val="007D29A6"/>
    <w:rsid w:val="007E6272"/>
    <w:rsid w:val="00806B88"/>
    <w:rsid w:val="00887320"/>
    <w:rsid w:val="008D7EAD"/>
    <w:rsid w:val="009048ED"/>
    <w:rsid w:val="00947758"/>
    <w:rsid w:val="00967783"/>
    <w:rsid w:val="00982E24"/>
    <w:rsid w:val="00A066D4"/>
    <w:rsid w:val="00A25652"/>
    <w:rsid w:val="00A5660A"/>
    <w:rsid w:val="00A82A3F"/>
    <w:rsid w:val="00B043A0"/>
    <w:rsid w:val="00B41C3D"/>
    <w:rsid w:val="00B85235"/>
    <w:rsid w:val="00B862A5"/>
    <w:rsid w:val="00BC21C6"/>
    <w:rsid w:val="00BC4114"/>
    <w:rsid w:val="00BD3CFF"/>
    <w:rsid w:val="00BD58C1"/>
    <w:rsid w:val="00C62D79"/>
    <w:rsid w:val="00C9466C"/>
    <w:rsid w:val="00CA4F88"/>
    <w:rsid w:val="00CB3584"/>
    <w:rsid w:val="00CD5308"/>
    <w:rsid w:val="00D11988"/>
    <w:rsid w:val="00D16AC9"/>
    <w:rsid w:val="00D2793E"/>
    <w:rsid w:val="00D92681"/>
    <w:rsid w:val="00DB0AD8"/>
    <w:rsid w:val="00E34234"/>
    <w:rsid w:val="00E45EF5"/>
    <w:rsid w:val="00E86559"/>
    <w:rsid w:val="00EA3F76"/>
    <w:rsid w:val="00EE4DF5"/>
    <w:rsid w:val="00F1677A"/>
    <w:rsid w:val="00F6272C"/>
    <w:rsid w:val="00FA0AD4"/>
    <w:rsid w:val="00FA58C0"/>
    <w:rsid w:val="00FB7F68"/>
    <w:rsid w:val="00FD0FD8"/>
    <w:rsid w:val="00FE2C16"/>
    <w:rsid w:val="00FE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642D8"/>
  <w15:docId w15:val="{DF069CCE-2B75-4925-B932-F103A859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32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77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770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7708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77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7708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217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7708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rsid w:val="001B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4E09B4"/>
    <w:rPr>
      <w:b/>
      <w:bCs/>
    </w:rPr>
  </w:style>
  <w:style w:type="paragraph" w:styleId="ad">
    <w:name w:val="header"/>
    <w:basedOn w:val="a"/>
    <w:link w:val="ae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3049"/>
    <w:rPr>
      <w:lang w:val="uk-UA"/>
    </w:rPr>
  </w:style>
  <w:style w:type="paragraph" w:styleId="af">
    <w:name w:val="footer"/>
    <w:basedOn w:val="a"/>
    <w:link w:val="af0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3049"/>
    <w:rPr>
      <w:lang w:val="uk-UA"/>
    </w:rPr>
  </w:style>
  <w:style w:type="table" w:styleId="af1">
    <w:name w:val="Table Grid"/>
    <w:basedOn w:val="a1"/>
    <w:rsid w:val="00770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1B4520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5818</Words>
  <Characters>3317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Vitkovskaja Anna</dc:creator>
  <cp:keywords/>
  <dc:description/>
  <cp:lastModifiedBy>Bundz Maria</cp:lastModifiedBy>
  <cp:revision>3</cp:revision>
  <cp:lastPrinted>2026-09-03T07:03:00Z</cp:lastPrinted>
  <dcterms:created xsi:type="dcterms:W3CDTF">2025-10-06T06:50:00Z</dcterms:created>
  <dcterms:modified xsi:type="dcterms:W3CDTF">2026-09-03T07:03:00Z</dcterms:modified>
</cp:coreProperties>
</file>