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238C5" w14:textId="77777777" w:rsidR="00BD58C1" w:rsidRPr="00B85235" w:rsidRDefault="00BD58C1" w:rsidP="00BD58C1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sz w:val="24"/>
          <w:szCs w:val="24"/>
          <w:lang w:eastAsia="ru-RU"/>
        </w:rPr>
      </w:pPr>
      <w:r w:rsidRPr="00B85235">
        <w:rPr>
          <w:rFonts w:asciiTheme="majorBidi" w:eastAsia="Times New Roman" w:hAnsiTheme="majorBidi" w:cstheme="majorBidi"/>
          <w:b/>
          <w:sz w:val="24"/>
          <w:szCs w:val="24"/>
          <w:lang w:eastAsia="ru-RU"/>
        </w:rPr>
        <w:t>Коротка характеристика препарату</w:t>
      </w:r>
    </w:p>
    <w:p w14:paraId="1258D3F5" w14:textId="77777777" w:rsidR="00BD58C1" w:rsidRPr="00B85235" w:rsidRDefault="00BD58C1" w:rsidP="00BD58C1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sz w:val="24"/>
          <w:szCs w:val="24"/>
          <w:lang w:eastAsia="ru-RU"/>
        </w:rPr>
      </w:pPr>
    </w:p>
    <w:p w14:paraId="74C8112D" w14:textId="77777777" w:rsidR="00BD58C1" w:rsidRPr="00B85235" w:rsidRDefault="00BD58C1" w:rsidP="00BD58C1">
      <w:pPr>
        <w:tabs>
          <w:tab w:val="left" w:pos="0"/>
          <w:tab w:val="left" w:pos="2148"/>
        </w:tabs>
        <w:spacing w:after="0" w:line="240" w:lineRule="auto"/>
        <w:rPr>
          <w:rFonts w:asciiTheme="majorBidi" w:eastAsia="Times New Roman" w:hAnsiTheme="majorBidi" w:cstheme="majorBidi"/>
          <w:b/>
          <w:sz w:val="24"/>
          <w:szCs w:val="24"/>
          <w:lang w:eastAsia="ru-RU"/>
        </w:rPr>
      </w:pPr>
      <w:r w:rsidRPr="00B85235">
        <w:rPr>
          <w:rFonts w:asciiTheme="majorBidi" w:eastAsia="Times New Roman" w:hAnsiTheme="majorBidi" w:cstheme="majorBidi"/>
          <w:b/>
          <w:sz w:val="24"/>
          <w:szCs w:val="24"/>
          <w:lang w:eastAsia="ru-RU"/>
        </w:rPr>
        <w:t>1. Назва</w:t>
      </w:r>
    </w:p>
    <w:p w14:paraId="3A47EDE0" w14:textId="6D746DD9" w:rsidR="00BD58C1" w:rsidRPr="009352EC" w:rsidRDefault="00B85235" w:rsidP="00770580">
      <w:pPr>
        <w:tabs>
          <w:tab w:val="left" w:pos="0"/>
        </w:tabs>
        <w:spacing w:after="0" w:line="240" w:lineRule="auto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9352EC">
        <w:rPr>
          <w:rFonts w:asciiTheme="majorBidi" w:hAnsiTheme="majorBidi" w:cstheme="majorBidi"/>
          <w:color w:val="121212"/>
          <w:sz w:val="24"/>
          <w:szCs w:val="24"/>
        </w:rPr>
        <w:t>ОКЛАВІЛЬ</w:t>
      </w:r>
      <w:r w:rsidR="00264B9A" w:rsidRPr="009352EC">
        <w:rPr>
          <w:rFonts w:asciiTheme="majorBidi" w:hAnsiTheme="majorBidi" w:cstheme="majorBidi"/>
          <w:sz w:val="24"/>
          <w:szCs w:val="24"/>
        </w:rPr>
        <w:t xml:space="preserve"> таблетки</w:t>
      </w:r>
      <w:r w:rsidR="004A52E9" w:rsidRPr="009352EC">
        <w:rPr>
          <w:rFonts w:asciiTheme="majorBidi" w:hAnsiTheme="majorBidi" w:cstheme="majorBidi"/>
          <w:sz w:val="24"/>
          <w:szCs w:val="24"/>
        </w:rPr>
        <w:t xml:space="preserve"> 5,4</w:t>
      </w:r>
      <w:r w:rsidRPr="009352EC">
        <w:rPr>
          <w:rFonts w:asciiTheme="majorBidi" w:hAnsiTheme="majorBidi" w:cstheme="majorBidi"/>
          <w:sz w:val="24"/>
          <w:szCs w:val="24"/>
        </w:rPr>
        <w:t xml:space="preserve"> мг</w:t>
      </w:r>
    </w:p>
    <w:p w14:paraId="2D2094B6" w14:textId="77777777" w:rsidR="000D11BC" w:rsidRPr="009352EC" w:rsidRDefault="00BD58C1" w:rsidP="000D11BC">
      <w:pPr>
        <w:shd w:val="clear" w:color="auto" w:fill="FFFFFF"/>
        <w:tabs>
          <w:tab w:val="left" w:pos="0"/>
          <w:tab w:val="left" w:pos="403"/>
        </w:tabs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9352EC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 xml:space="preserve">2. </w:t>
      </w:r>
      <w:r w:rsidR="000D11BC" w:rsidRPr="009352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Склад</w:t>
      </w:r>
    </w:p>
    <w:p w14:paraId="733BFC0F" w14:textId="77777777" w:rsidR="004A52E9" w:rsidRPr="009352EC" w:rsidRDefault="00770580" w:rsidP="004A52E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352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 таблетка</w:t>
      </w:r>
      <w:r w:rsidR="004A52E9" w:rsidRPr="009352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(150 </w:t>
      </w:r>
      <w:r w:rsidR="00B85235" w:rsidRPr="009352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мг)</w:t>
      </w:r>
      <w:r w:rsidRPr="009352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містить</w:t>
      </w:r>
      <w:r w:rsidR="00B85235" w:rsidRPr="009352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85235" w:rsidRPr="009352E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діючу речовину</w:t>
      </w:r>
      <w:r w:rsidRPr="009352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729919A8" w14:textId="195BD661" w:rsidR="00770580" w:rsidRPr="009352EC" w:rsidRDefault="00770580" w:rsidP="004A52E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9352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оклацитинібу</w:t>
      </w:r>
      <w:proofErr w:type="spellEnd"/>
      <w:r w:rsidRPr="009352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9352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малеат</w:t>
      </w:r>
      <w:proofErr w:type="spellEnd"/>
      <w:r w:rsidRPr="009352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7,26 мг, що відповідає </w:t>
      </w:r>
      <w:proofErr w:type="spellStart"/>
      <w:r w:rsidRPr="009352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оклацитинібу</w:t>
      </w:r>
      <w:proofErr w:type="spellEnd"/>
      <w:r w:rsidRPr="009352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5,4 мг;</w:t>
      </w:r>
    </w:p>
    <w:p w14:paraId="6909CC65" w14:textId="4C70FC5A" w:rsidR="00BD58C1" w:rsidRPr="009352EC" w:rsidRDefault="00770580" w:rsidP="00770580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9352E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допоміжні речовини:</w:t>
      </w:r>
      <w:r w:rsidRPr="009352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целюлоза мікрокристалічна; лактоза, моногідрат; натрію </w:t>
      </w:r>
      <w:proofErr w:type="spellStart"/>
      <w:r w:rsidRPr="009352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крохмальгліколят</w:t>
      </w:r>
      <w:proofErr w:type="spellEnd"/>
      <w:r w:rsidRPr="009352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; магнію </w:t>
      </w:r>
      <w:proofErr w:type="spellStart"/>
      <w:r w:rsidRPr="009352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стеарат</w:t>
      </w:r>
      <w:proofErr w:type="spellEnd"/>
      <w:r w:rsidRPr="009352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7F32F29" w14:textId="77777777" w:rsidR="00BD58C1" w:rsidRPr="009352EC" w:rsidRDefault="00BD58C1" w:rsidP="00BD58C1">
      <w:pPr>
        <w:tabs>
          <w:tab w:val="left" w:pos="0"/>
        </w:tabs>
        <w:spacing w:after="0" w:line="240" w:lineRule="auto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9352EC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3. Фармацевтична форма</w:t>
      </w:r>
    </w:p>
    <w:p w14:paraId="07650407" w14:textId="3ACF986F" w:rsidR="00BD58C1" w:rsidRPr="009352EC" w:rsidRDefault="00770580" w:rsidP="00BD58C1">
      <w:pPr>
        <w:tabs>
          <w:tab w:val="left" w:pos="0"/>
        </w:tabs>
        <w:spacing w:after="0" w:line="240" w:lineRule="auto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  <w:r w:rsidRPr="009352EC">
        <w:rPr>
          <w:rFonts w:asciiTheme="majorBidi" w:eastAsia="Times New Roman" w:hAnsiTheme="majorBidi" w:cstheme="majorBidi"/>
          <w:sz w:val="24"/>
          <w:szCs w:val="24"/>
          <w:lang w:eastAsia="ru-RU"/>
        </w:rPr>
        <w:t>Таблетки</w:t>
      </w:r>
      <w:r w:rsidR="00BD58C1" w:rsidRPr="009352EC">
        <w:rPr>
          <w:rFonts w:asciiTheme="majorBidi" w:eastAsia="Times New Roman" w:hAnsiTheme="majorBidi" w:cstheme="majorBidi"/>
          <w:sz w:val="24"/>
          <w:szCs w:val="24"/>
          <w:lang w:eastAsia="ru-RU"/>
        </w:rPr>
        <w:t>.</w:t>
      </w:r>
      <w:bookmarkStart w:id="0" w:name="_GoBack"/>
      <w:bookmarkEnd w:id="0"/>
    </w:p>
    <w:p w14:paraId="495822A3" w14:textId="3923A8C1" w:rsidR="00BD58C1" w:rsidRPr="009352EC" w:rsidRDefault="00BD58C1" w:rsidP="00BD58C1">
      <w:pPr>
        <w:tabs>
          <w:tab w:val="left" w:pos="0"/>
        </w:tabs>
        <w:spacing w:after="0" w:line="240" w:lineRule="auto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9352EC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4. Фармакологічні властивості</w:t>
      </w:r>
    </w:p>
    <w:p w14:paraId="0CC07D16" w14:textId="214CE6B7" w:rsidR="00B85235" w:rsidRPr="009352EC" w:rsidRDefault="00770580" w:rsidP="00B85235">
      <w:pPr>
        <w:tabs>
          <w:tab w:val="left" w:pos="0"/>
        </w:tabs>
        <w:spacing w:after="0" w:line="240" w:lineRule="auto"/>
        <w:jc w:val="both"/>
        <w:rPr>
          <w:rFonts w:asciiTheme="majorBidi" w:hAnsiTheme="majorBidi" w:cstheme="majorBidi"/>
          <w:b/>
          <w:i/>
          <w:sz w:val="24"/>
          <w:szCs w:val="24"/>
        </w:rPr>
      </w:pPr>
      <w:r w:rsidRPr="009352EC">
        <w:rPr>
          <w:rFonts w:asciiTheme="majorBidi" w:hAnsiTheme="majorBidi" w:cstheme="majorBidi"/>
          <w:b/>
          <w:i/>
          <w:sz w:val="24"/>
          <w:szCs w:val="24"/>
        </w:rPr>
        <w:t xml:space="preserve">ATC </w:t>
      </w:r>
      <w:proofErr w:type="spellStart"/>
      <w:r w:rsidR="00B85235" w:rsidRPr="009352EC">
        <w:rPr>
          <w:rFonts w:asciiTheme="majorBidi" w:hAnsiTheme="majorBidi" w:cstheme="majorBidi"/>
          <w:b/>
          <w:i/>
          <w:sz w:val="24"/>
          <w:szCs w:val="24"/>
        </w:rPr>
        <w:t>vet</w:t>
      </w:r>
      <w:proofErr w:type="spellEnd"/>
      <w:r w:rsidR="00B85235" w:rsidRPr="009352EC">
        <w:rPr>
          <w:rFonts w:asciiTheme="majorBidi" w:hAnsiTheme="majorBidi" w:cstheme="majorBidi"/>
          <w:b/>
          <w:i/>
          <w:sz w:val="24"/>
          <w:szCs w:val="24"/>
        </w:rPr>
        <w:t xml:space="preserve"> класифікаційний код QD11</w:t>
      </w:r>
      <w:r w:rsidRPr="009352EC">
        <w:rPr>
          <w:rFonts w:asciiTheme="majorBidi" w:hAnsiTheme="majorBidi" w:cstheme="majorBidi"/>
          <w:b/>
          <w:i/>
          <w:sz w:val="24"/>
          <w:szCs w:val="24"/>
        </w:rPr>
        <w:t xml:space="preserve"> – </w:t>
      </w:r>
      <w:r w:rsidR="00B85235" w:rsidRPr="009352EC">
        <w:rPr>
          <w:rFonts w:asciiTheme="majorBidi" w:hAnsiTheme="majorBidi" w:cstheme="majorBidi"/>
          <w:b/>
          <w:i/>
          <w:sz w:val="24"/>
          <w:szCs w:val="24"/>
        </w:rPr>
        <w:t xml:space="preserve">інші дерматологічні ветеринарні препарати. QD11AH90 – </w:t>
      </w:r>
      <w:proofErr w:type="spellStart"/>
      <w:r w:rsidR="00B85235" w:rsidRPr="009352EC">
        <w:rPr>
          <w:rFonts w:asciiTheme="majorBidi" w:hAnsiTheme="majorBidi" w:cstheme="majorBidi"/>
          <w:b/>
          <w:i/>
          <w:sz w:val="24"/>
          <w:szCs w:val="24"/>
        </w:rPr>
        <w:t>Оклацитиніб</w:t>
      </w:r>
      <w:proofErr w:type="spellEnd"/>
      <w:r w:rsidR="00B85235" w:rsidRPr="009352EC">
        <w:rPr>
          <w:rFonts w:asciiTheme="majorBidi" w:hAnsiTheme="majorBidi" w:cstheme="majorBidi"/>
          <w:b/>
          <w:i/>
          <w:sz w:val="24"/>
          <w:szCs w:val="24"/>
        </w:rPr>
        <w:t>.</w:t>
      </w:r>
    </w:p>
    <w:p w14:paraId="575F5C11" w14:textId="6009E7DF" w:rsidR="00816F53" w:rsidRPr="00064919" w:rsidRDefault="00816F53" w:rsidP="00816F53">
      <w:pPr>
        <w:pStyle w:val="af2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proofErr w:type="spellStart"/>
      <w:r w:rsidRPr="00A12EC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Оклац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итиніб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є інгібітором </w:t>
      </w:r>
      <w:proofErr w:type="spellStart"/>
      <w:r w:rsidRPr="00C3178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янус-кіназ</w:t>
      </w:r>
      <w:proofErr w:type="spellEnd"/>
      <w:r w:rsidRPr="00C31786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(JAK</w:t>
      </w:r>
      <w:r w:rsidRPr="0006491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).</w:t>
      </w:r>
      <w:r w:rsidRPr="00064919"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  <w:lang w:eastAsia="ru-RU"/>
        </w:rPr>
        <w:t xml:space="preserve"> </w:t>
      </w:r>
      <w:r w:rsidRPr="0006491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Це група ферментів, що </w:t>
      </w:r>
      <w:r w:rsidR="00BE748A" w:rsidRPr="0006491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беруть</w:t>
      </w:r>
      <w:r w:rsidRPr="0006491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участь у внутрішньоклітинній передачі сигналу з </w:t>
      </w:r>
      <w:proofErr w:type="spellStart"/>
      <w:r w:rsidRPr="0006491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цитокінових</w:t>
      </w:r>
      <w:proofErr w:type="spellEnd"/>
      <w:r w:rsidRPr="0006491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рецепторів. </w:t>
      </w:r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Він пригнічує функцію різних </w:t>
      </w:r>
      <w:proofErr w:type="spellStart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цитокінів</w:t>
      </w:r>
      <w:proofErr w:type="spellEnd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залежних від активності ферментів </w:t>
      </w:r>
      <w:proofErr w:type="spellStart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янус-кіназ</w:t>
      </w:r>
      <w:proofErr w:type="spellEnd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JAK1 або JAK3. Для </w:t>
      </w:r>
      <w:proofErr w:type="spellStart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оклацитинібу</w:t>
      </w:r>
      <w:proofErr w:type="spellEnd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цільовими </w:t>
      </w:r>
      <w:proofErr w:type="spellStart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цитокінами</w:t>
      </w:r>
      <w:proofErr w:type="spellEnd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є </w:t>
      </w:r>
      <w:proofErr w:type="spellStart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прозапальні</w:t>
      </w:r>
      <w:proofErr w:type="spellEnd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цитокіни</w:t>
      </w:r>
      <w:proofErr w:type="spellEnd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і ті, які відіграють певну роль у появі алергічних реакцій або свербіння. Проте, </w:t>
      </w:r>
      <w:proofErr w:type="spellStart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оклацитиніб</w:t>
      </w:r>
      <w:proofErr w:type="spellEnd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також може впливати і на інші </w:t>
      </w:r>
      <w:proofErr w:type="spellStart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цитокіни</w:t>
      </w:r>
      <w:proofErr w:type="spellEnd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(наприклад, ті, які беруть участь у захисних реакціях організму або </w:t>
      </w:r>
      <w:proofErr w:type="spellStart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гемоцитопоезі</w:t>
      </w:r>
      <w:proofErr w:type="spellEnd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) зі здатністю до небажаних ефектів.</w:t>
      </w:r>
    </w:p>
    <w:p w14:paraId="005BE221" w14:textId="77777777" w:rsidR="00816F53" w:rsidRPr="00064919" w:rsidRDefault="00816F53" w:rsidP="00816F53">
      <w:pPr>
        <w:pStyle w:val="af2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Після перорального застосування в собак </w:t>
      </w:r>
      <w:proofErr w:type="spellStart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оклацитиніб</w:t>
      </w:r>
      <w:proofErr w:type="spellEnd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малеат</w:t>
      </w:r>
      <w:proofErr w:type="spellEnd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швидко та добре абсорбується та досягає максимальної концентрації в плазмі крові менше, ніж за годину. Абсолютна </w:t>
      </w:r>
      <w:proofErr w:type="spellStart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біодоступність</w:t>
      </w:r>
      <w:proofErr w:type="spellEnd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оклацитинібу</w:t>
      </w:r>
      <w:proofErr w:type="spellEnd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малеату</w:t>
      </w:r>
      <w:proofErr w:type="spellEnd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становить 89 %. Прийом корму не впливає на швидкість та ступінь абсорбції </w:t>
      </w:r>
      <w:proofErr w:type="spellStart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оклацитинібу</w:t>
      </w:r>
      <w:proofErr w:type="spellEnd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Виводиться з організму в незміненій формі, переважно з сечею, період </w:t>
      </w:r>
      <w:proofErr w:type="spellStart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напіввиведення</w:t>
      </w:r>
      <w:proofErr w:type="spellEnd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становить 3</w:t>
      </w:r>
      <w:r w:rsidRPr="00064919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–</w:t>
      </w:r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4 години.</w:t>
      </w:r>
    </w:p>
    <w:p w14:paraId="197624CA" w14:textId="5FFEB951" w:rsidR="00770580" w:rsidRPr="00064919" w:rsidRDefault="00816F53" w:rsidP="00816F53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pacing w:val="1"/>
          <w:sz w:val="24"/>
          <w:szCs w:val="24"/>
          <w:lang w:eastAsia="ru-RU"/>
        </w:rPr>
      </w:pPr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У собак, яких лікували </w:t>
      </w:r>
      <w:proofErr w:type="spellStart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оклацитинібом</w:t>
      </w:r>
      <w:proofErr w:type="spellEnd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протягом 6 місяців, не спостерігалася кумуляція препарату в організмі.</w:t>
      </w:r>
    </w:p>
    <w:p w14:paraId="77A19C2B" w14:textId="77777777" w:rsidR="00BD58C1" w:rsidRPr="00064919" w:rsidRDefault="00BD58C1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 Клінічні особливості</w:t>
      </w:r>
    </w:p>
    <w:p w14:paraId="0DF12758" w14:textId="77777777" w:rsidR="00BD58C1" w:rsidRPr="00064919" w:rsidRDefault="00BD58C1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5.1 Вид тварин</w:t>
      </w:r>
    </w:p>
    <w:p w14:paraId="777F090C" w14:textId="290DEFC7" w:rsidR="00BD58C1" w:rsidRPr="00064919" w:rsidRDefault="00770580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Собаки</w:t>
      </w:r>
      <w:r w:rsidR="00BD58C1"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.</w:t>
      </w:r>
    </w:p>
    <w:p w14:paraId="5F8B0665" w14:textId="77777777" w:rsidR="00BD58C1" w:rsidRPr="00064919" w:rsidRDefault="00BD58C1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</w:rPr>
      </w:pPr>
      <w:r w:rsidRPr="00064919">
        <w:rPr>
          <w:rFonts w:asciiTheme="majorBidi" w:eastAsia="Times New Roman" w:hAnsiTheme="majorBidi" w:cstheme="majorBidi"/>
          <w:b/>
          <w:snapToGrid w:val="0"/>
          <w:sz w:val="24"/>
          <w:szCs w:val="24"/>
        </w:rPr>
        <w:t>5.2 Показання до застосування</w:t>
      </w:r>
    </w:p>
    <w:p w14:paraId="22DE5B0A" w14:textId="77777777" w:rsidR="00770580" w:rsidRPr="00064919" w:rsidRDefault="00770580" w:rsidP="00770580">
      <w:pPr>
        <w:tabs>
          <w:tab w:val="left" w:pos="0"/>
        </w:tabs>
        <w:spacing w:after="0"/>
        <w:jc w:val="both"/>
        <w:rPr>
          <w:rFonts w:asciiTheme="majorBidi" w:hAnsiTheme="majorBidi" w:cstheme="majorBidi"/>
          <w:snapToGrid w:val="0"/>
          <w:sz w:val="24"/>
          <w:szCs w:val="24"/>
        </w:rPr>
      </w:pPr>
      <w:r w:rsidRPr="00064919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Лікування собак, хворих на алергічний дерматит (контроль свербіння), а також з клінічними проявами </w:t>
      </w:r>
      <w:proofErr w:type="spellStart"/>
      <w:r w:rsidRPr="00064919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атопічного</w:t>
      </w:r>
      <w:proofErr w:type="spellEnd"/>
      <w:r w:rsidRPr="00064919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дерматиту.</w:t>
      </w:r>
    </w:p>
    <w:p w14:paraId="39EF9B6D" w14:textId="77777777" w:rsidR="00BD58C1" w:rsidRPr="00064919" w:rsidRDefault="00BD58C1" w:rsidP="00770580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5.3 Протипоказання</w:t>
      </w:r>
    </w:p>
    <w:p w14:paraId="6013650C" w14:textId="77777777" w:rsidR="00816F53" w:rsidRPr="00064919" w:rsidRDefault="00816F53" w:rsidP="00816F53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064919">
        <w:rPr>
          <w:rFonts w:asciiTheme="majorBidi" w:hAnsiTheme="majorBidi" w:cstheme="majorBidi"/>
          <w:sz w:val="24"/>
          <w:szCs w:val="24"/>
          <w:shd w:val="clear" w:color="auto" w:fill="FFFFFF"/>
        </w:rPr>
        <w:t>Не застосовувати за підвищеної чутливості до активної речовини або будь-якого наповнювача в складі препарату.</w:t>
      </w:r>
    </w:p>
    <w:p w14:paraId="63186595" w14:textId="77777777" w:rsidR="00816F53" w:rsidRPr="00064919" w:rsidRDefault="00816F53" w:rsidP="00816F53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06491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Не застосовувати собакам віком, молодшим за 12 місяців або які мають масу тіла, меншу за 3 кг. </w:t>
      </w:r>
    </w:p>
    <w:p w14:paraId="7813F67F" w14:textId="645986B0" w:rsidR="00BD58C1" w:rsidRPr="00064919" w:rsidRDefault="00816F53" w:rsidP="00816F53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6491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Не застосовувати собакам із ознаками пригнічення імунітету, </w:t>
      </w:r>
      <w:r w:rsidR="00BE748A" w:rsidRPr="00064919">
        <w:rPr>
          <w:rFonts w:asciiTheme="majorBidi" w:hAnsiTheme="majorBidi" w:cstheme="majorBidi"/>
          <w:sz w:val="24"/>
          <w:szCs w:val="24"/>
          <w:shd w:val="clear" w:color="auto" w:fill="FFFFFF"/>
        </w:rPr>
        <w:t>а саме</w:t>
      </w:r>
      <w:r w:rsidRPr="0006491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, </w:t>
      </w:r>
      <w:proofErr w:type="spellStart"/>
      <w:r w:rsidRPr="00064919">
        <w:rPr>
          <w:rFonts w:asciiTheme="majorBidi" w:hAnsiTheme="majorBidi" w:cstheme="majorBidi"/>
          <w:sz w:val="24"/>
          <w:szCs w:val="24"/>
          <w:shd w:val="clear" w:color="auto" w:fill="FFFFFF"/>
        </w:rPr>
        <w:t>гіперадренокортицизм</w:t>
      </w:r>
      <w:proofErr w:type="spellEnd"/>
      <w:r w:rsidRPr="0006491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або з ознаками прогресуючої злоякісної неоплазії, тому що дія </w:t>
      </w:r>
      <w:proofErr w:type="spellStart"/>
      <w:r w:rsidRPr="0006491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оклацитинібу</w:t>
      </w:r>
      <w:proofErr w:type="spellEnd"/>
      <w:r w:rsidRPr="0006491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в таких випадках не досліджувалася.</w:t>
      </w:r>
    </w:p>
    <w:p w14:paraId="30E4540F" w14:textId="77777777" w:rsidR="00BD58C1" w:rsidRPr="00064919" w:rsidRDefault="00BD58C1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5.4 Побічна дія</w:t>
      </w:r>
    </w:p>
    <w:p w14:paraId="52A60E0B" w14:textId="77777777" w:rsidR="00116B59" w:rsidRPr="00064919" w:rsidRDefault="00116B59" w:rsidP="00116B59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>У таблиці наведені побічні реакції, які виявлені при клінічних дослідженнях на 16 добу застосування препарату та плацебо:</w:t>
      </w:r>
    </w:p>
    <w:p w14:paraId="4775B023" w14:textId="77777777" w:rsidR="00116B59" w:rsidRPr="00064919" w:rsidRDefault="00116B59" w:rsidP="00116B59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116B59" w:rsidRPr="00064919" w14:paraId="12E40701" w14:textId="77777777" w:rsidTr="00AC5942">
        <w:tc>
          <w:tcPr>
            <w:tcW w:w="1868" w:type="dxa"/>
            <w:vMerge w:val="restart"/>
          </w:tcPr>
          <w:p w14:paraId="08F2F706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both"/>
              <w:rPr>
                <w:rFonts w:asciiTheme="majorBidi" w:hAnsiTheme="majorBidi" w:cstheme="majorBidi"/>
                <w:iCs/>
                <w:sz w:val="24"/>
                <w:szCs w:val="24"/>
              </w:rPr>
            </w:pPr>
          </w:p>
        </w:tc>
        <w:tc>
          <w:tcPr>
            <w:tcW w:w="3738" w:type="dxa"/>
            <w:gridSpan w:val="2"/>
          </w:tcPr>
          <w:p w14:paraId="6BFB5F85" w14:textId="4AABDC13" w:rsidR="00116B59" w:rsidRPr="00064919" w:rsidRDefault="00116B59" w:rsidP="00AC5942">
            <w:pPr>
              <w:widowControl w:val="0"/>
              <w:tabs>
                <w:tab w:val="left" w:pos="0"/>
              </w:tabs>
              <w:jc w:val="both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Побічні реакції, які спостерігали під час лікування собак, хворих на </w:t>
            </w:r>
            <w:proofErr w:type="spellStart"/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атопічний</w:t>
            </w:r>
            <w:proofErr w:type="spellEnd"/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дерматит</w:t>
            </w:r>
            <w:r w:rsidR="00C31786"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,</w:t>
            </w: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на 16 добу</w:t>
            </w:r>
          </w:p>
        </w:tc>
        <w:tc>
          <w:tcPr>
            <w:tcW w:w="3738" w:type="dxa"/>
            <w:gridSpan w:val="2"/>
          </w:tcPr>
          <w:p w14:paraId="258C4FF4" w14:textId="06D065FA" w:rsidR="00116B59" w:rsidRPr="00064919" w:rsidRDefault="00116B59" w:rsidP="00AC5942">
            <w:pPr>
              <w:widowControl w:val="0"/>
              <w:tabs>
                <w:tab w:val="left" w:pos="0"/>
              </w:tabs>
              <w:jc w:val="both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Побічні реакції, які спостерігали під час лікування собак з ознаками свербіння</w:t>
            </w:r>
            <w:r w:rsidR="00C31786"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,</w:t>
            </w: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на 7 добу</w:t>
            </w:r>
          </w:p>
        </w:tc>
      </w:tr>
      <w:tr w:rsidR="00116B59" w:rsidRPr="00064919" w14:paraId="74A3AAEB" w14:textId="77777777" w:rsidTr="00AC5942">
        <w:tc>
          <w:tcPr>
            <w:tcW w:w="1868" w:type="dxa"/>
            <w:vMerge/>
          </w:tcPr>
          <w:p w14:paraId="50ED7027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both"/>
              <w:rPr>
                <w:rFonts w:asciiTheme="majorBidi" w:hAnsiTheme="majorBidi" w:cstheme="majorBidi"/>
                <w:iCs/>
                <w:sz w:val="24"/>
                <w:szCs w:val="24"/>
              </w:rPr>
            </w:pPr>
          </w:p>
        </w:tc>
        <w:tc>
          <w:tcPr>
            <w:tcW w:w="1869" w:type="dxa"/>
          </w:tcPr>
          <w:p w14:paraId="3FF46A40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Препарат (n=152)</w:t>
            </w:r>
          </w:p>
        </w:tc>
        <w:tc>
          <w:tcPr>
            <w:tcW w:w="1869" w:type="dxa"/>
          </w:tcPr>
          <w:p w14:paraId="1E9CEA2D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Плацебо (n=147)</w:t>
            </w:r>
          </w:p>
        </w:tc>
        <w:tc>
          <w:tcPr>
            <w:tcW w:w="1869" w:type="dxa"/>
          </w:tcPr>
          <w:p w14:paraId="04D07A6C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Препарат (n=216)</w:t>
            </w:r>
          </w:p>
        </w:tc>
        <w:tc>
          <w:tcPr>
            <w:tcW w:w="1869" w:type="dxa"/>
          </w:tcPr>
          <w:p w14:paraId="4CF52BF1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Плацебо (n=220)</w:t>
            </w:r>
          </w:p>
        </w:tc>
      </w:tr>
      <w:tr w:rsidR="00116B59" w:rsidRPr="00064919" w14:paraId="0827A256" w14:textId="77777777" w:rsidTr="00AC5942">
        <w:tc>
          <w:tcPr>
            <w:tcW w:w="1868" w:type="dxa"/>
          </w:tcPr>
          <w:p w14:paraId="45E0E891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both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Діарея</w:t>
            </w:r>
          </w:p>
        </w:tc>
        <w:tc>
          <w:tcPr>
            <w:tcW w:w="1869" w:type="dxa"/>
          </w:tcPr>
          <w:p w14:paraId="6046CB6E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4,6 %</w:t>
            </w:r>
          </w:p>
        </w:tc>
        <w:tc>
          <w:tcPr>
            <w:tcW w:w="1869" w:type="dxa"/>
          </w:tcPr>
          <w:p w14:paraId="16F7231D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3,4 %</w:t>
            </w:r>
          </w:p>
        </w:tc>
        <w:tc>
          <w:tcPr>
            <w:tcW w:w="1869" w:type="dxa"/>
          </w:tcPr>
          <w:p w14:paraId="220AD572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2,3 %</w:t>
            </w:r>
          </w:p>
        </w:tc>
        <w:tc>
          <w:tcPr>
            <w:tcW w:w="1869" w:type="dxa"/>
          </w:tcPr>
          <w:p w14:paraId="14AB3BF3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0,9 %</w:t>
            </w:r>
          </w:p>
        </w:tc>
      </w:tr>
      <w:tr w:rsidR="00116B59" w:rsidRPr="00064919" w14:paraId="00F613C9" w14:textId="77777777" w:rsidTr="00AC5942">
        <w:tc>
          <w:tcPr>
            <w:tcW w:w="1868" w:type="dxa"/>
          </w:tcPr>
          <w:p w14:paraId="738B7489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both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proofErr w:type="spellStart"/>
            <w:r w:rsidRPr="00064919">
              <w:rPr>
                <w:rFonts w:asciiTheme="majorBidi" w:hAnsiTheme="majorBidi" w:cstheme="majorBidi"/>
                <w:iCs/>
                <w:sz w:val="24"/>
                <w:szCs w:val="24"/>
                <w:lang w:val="ru-RU"/>
              </w:rPr>
              <w:t>Блювання</w:t>
            </w:r>
            <w:proofErr w:type="spellEnd"/>
          </w:p>
        </w:tc>
        <w:tc>
          <w:tcPr>
            <w:tcW w:w="1869" w:type="dxa"/>
          </w:tcPr>
          <w:p w14:paraId="4802ADEB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3,9 %</w:t>
            </w:r>
          </w:p>
        </w:tc>
        <w:tc>
          <w:tcPr>
            <w:tcW w:w="1869" w:type="dxa"/>
          </w:tcPr>
          <w:p w14:paraId="29D6FDD8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4,1 %</w:t>
            </w:r>
          </w:p>
        </w:tc>
        <w:tc>
          <w:tcPr>
            <w:tcW w:w="1869" w:type="dxa"/>
          </w:tcPr>
          <w:p w14:paraId="37D50968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2,3 %</w:t>
            </w:r>
          </w:p>
        </w:tc>
        <w:tc>
          <w:tcPr>
            <w:tcW w:w="1869" w:type="dxa"/>
          </w:tcPr>
          <w:p w14:paraId="02D6AEA1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1,8 %</w:t>
            </w:r>
          </w:p>
        </w:tc>
      </w:tr>
      <w:tr w:rsidR="00116B59" w:rsidRPr="00064919" w14:paraId="28686A41" w14:textId="77777777" w:rsidTr="00AC5942">
        <w:tc>
          <w:tcPr>
            <w:tcW w:w="1868" w:type="dxa"/>
          </w:tcPr>
          <w:p w14:paraId="7B61A976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both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Анорексія</w:t>
            </w:r>
          </w:p>
        </w:tc>
        <w:tc>
          <w:tcPr>
            <w:tcW w:w="1869" w:type="dxa"/>
          </w:tcPr>
          <w:p w14:paraId="6CAF017B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2,6 %</w:t>
            </w:r>
          </w:p>
        </w:tc>
        <w:tc>
          <w:tcPr>
            <w:tcW w:w="1869" w:type="dxa"/>
          </w:tcPr>
          <w:p w14:paraId="10D8AED1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0 %</w:t>
            </w:r>
          </w:p>
        </w:tc>
        <w:tc>
          <w:tcPr>
            <w:tcW w:w="1869" w:type="dxa"/>
          </w:tcPr>
          <w:p w14:paraId="63B74763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1,4 %</w:t>
            </w:r>
          </w:p>
        </w:tc>
        <w:tc>
          <w:tcPr>
            <w:tcW w:w="1869" w:type="dxa"/>
          </w:tcPr>
          <w:p w14:paraId="093A9B67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0 %</w:t>
            </w:r>
          </w:p>
        </w:tc>
      </w:tr>
      <w:tr w:rsidR="00116B59" w:rsidRPr="00064919" w14:paraId="1844A7DB" w14:textId="77777777" w:rsidTr="00AC5942">
        <w:tc>
          <w:tcPr>
            <w:tcW w:w="1868" w:type="dxa"/>
          </w:tcPr>
          <w:p w14:paraId="48C0FD0E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both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Нові нашкірні або підшкірні припухання</w:t>
            </w:r>
          </w:p>
        </w:tc>
        <w:tc>
          <w:tcPr>
            <w:tcW w:w="1869" w:type="dxa"/>
          </w:tcPr>
          <w:p w14:paraId="2EB8D9D4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2,6 %</w:t>
            </w:r>
          </w:p>
        </w:tc>
        <w:tc>
          <w:tcPr>
            <w:tcW w:w="1869" w:type="dxa"/>
          </w:tcPr>
          <w:p w14:paraId="04896865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2,7 %</w:t>
            </w:r>
          </w:p>
        </w:tc>
        <w:tc>
          <w:tcPr>
            <w:tcW w:w="1869" w:type="dxa"/>
          </w:tcPr>
          <w:p w14:paraId="26769E05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1,0 %</w:t>
            </w:r>
          </w:p>
        </w:tc>
        <w:tc>
          <w:tcPr>
            <w:tcW w:w="1869" w:type="dxa"/>
          </w:tcPr>
          <w:p w14:paraId="2F98E98E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0 %</w:t>
            </w:r>
          </w:p>
        </w:tc>
      </w:tr>
      <w:tr w:rsidR="00116B59" w:rsidRPr="00064919" w14:paraId="355499BE" w14:textId="77777777" w:rsidTr="00AC5942">
        <w:tc>
          <w:tcPr>
            <w:tcW w:w="1868" w:type="dxa"/>
          </w:tcPr>
          <w:p w14:paraId="1CE84A09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both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Млявість</w:t>
            </w:r>
          </w:p>
        </w:tc>
        <w:tc>
          <w:tcPr>
            <w:tcW w:w="1869" w:type="dxa"/>
          </w:tcPr>
          <w:p w14:paraId="166D0E11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2,0 %</w:t>
            </w:r>
          </w:p>
        </w:tc>
        <w:tc>
          <w:tcPr>
            <w:tcW w:w="1869" w:type="dxa"/>
          </w:tcPr>
          <w:p w14:paraId="70C170FF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1,4 %</w:t>
            </w:r>
          </w:p>
        </w:tc>
        <w:tc>
          <w:tcPr>
            <w:tcW w:w="1869" w:type="dxa"/>
          </w:tcPr>
          <w:p w14:paraId="4818EA23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1,8 %</w:t>
            </w:r>
          </w:p>
        </w:tc>
        <w:tc>
          <w:tcPr>
            <w:tcW w:w="1869" w:type="dxa"/>
          </w:tcPr>
          <w:p w14:paraId="7EDB1229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1,4 %</w:t>
            </w:r>
          </w:p>
        </w:tc>
      </w:tr>
      <w:tr w:rsidR="00116B59" w:rsidRPr="00064919" w14:paraId="1E0C0B7B" w14:textId="77777777" w:rsidTr="00AC5942">
        <w:tc>
          <w:tcPr>
            <w:tcW w:w="1868" w:type="dxa"/>
          </w:tcPr>
          <w:p w14:paraId="099AE8C4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both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proofErr w:type="spellStart"/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Полідіпсія</w:t>
            </w:r>
            <w:proofErr w:type="spellEnd"/>
          </w:p>
        </w:tc>
        <w:tc>
          <w:tcPr>
            <w:tcW w:w="1869" w:type="dxa"/>
          </w:tcPr>
          <w:p w14:paraId="16E05968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0,7 %</w:t>
            </w:r>
          </w:p>
        </w:tc>
        <w:tc>
          <w:tcPr>
            <w:tcW w:w="1869" w:type="dxa"/>
          </w:tcPr>
          <w:p w14:paraId="37D2B915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1,4 %</w:t>
            </w:r>
          </w:p>
        </w:tc>
        <w:tc>
          <w:tcPr>
            <w:tcW w:w="1869" w:type="dxa"/>
          </w:tcPr>
          <w:p w14:paraId="2A132D5A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1,4 %</w:t>
            </w:r>
          </w:p>
        </w:tc>
        <w:tc>
          <w:tcPr>
            <w:tcW w:w="1869" w:type="dxa"/>
          </w:tcPr>
          <w:p w14:paraId="3CBF9D8D" w14:textId="77777777" w:rsidR="00116B59" w:rsidRPr="00064919" w:rsidRDefault="00116B59" w:rsidP="00AC5942">
            <w:pPr>
              <w:widowControl w:val="0"/>
              <w:tabs>
                <w:tab w:val="left" w:pos="0"/>
              </w:tabs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iCs/>
                <w:sz w:val="24"/>
                <w:szCs w:val="24"/>
              </w:rPr>
              <w:t>0 %</w:t>
            </w:r>
          </w:p>
        </w:tc>
      </w:tr>
    </w:tbl>
    <w:p w14:paraId="4F213EAE" w14:textId="77777777" w:rsidR="00116B59" w:rsidRPr="00064919" w:rsidRDefault="00116B59" w:rsidP="00116B59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 xml:space="preserve">Після 16 доби в більше, ніж 1 % собак, також було </w:t>
      </w:r>
      <w:proofErr w:type="spellStart"/>
      <w:r w:rsidRPr="00064919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>відмічено</w:t>
      </w:r>
      <w:proofErr w:type="spellEnd"/>
      <w:r w:rsidRPr="00064919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 xml:space="preserve"> такі побічні реакції, як: піодермія, неспецифічні </w:t>
      </w:r>
      <w:proofErr w:type="spellStart"/>
      <w:r w:rsidRPr="00064919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>дермальні</w:t>
      </w:r>
      <w:proofErr w:type="spellEnd"/>
      <w:r w:rsidRPr="00064919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 xml:space="preserve"> припухання, отит, </w:t>
      </w:r>
      <w:proofErr w:type="spellStart"/>
      <w:r w:rsidRPr="00064919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>гістіоцитома</w:t>
      </w:r>
      <w:proofErr w:type="spellEnd"/>
      <w:r w:rsidRPr="00064919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 xml:space="preserve">, цистит, </w:t>
      </w:r>
      <w:proofErr w:type="spellStart"/>
      <w:r w:rsidRPr="00064919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>кандидози</w:t>
      </w:r>
      <w:proofErr w:type="spellEnd"/>
      <w:r w:rsidRPr="00064919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 xml:space="preserve">, </w:t>
      </w:r>
      <w:proofErr w:type="spellStart"/>
      <w:r w:rsidRPr="00064919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>пододерматит</w:t>
      </w:r>
      <w:proofErr w:type="spellEnd"/>
      <w:r w:rsidRPr="00064919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>, ліпоми, збільшення лімфатичних вузлів, нудота, підвищений апетит та агресивність.</w:t>
      </w:r>
    </w:p>
    <w:p w14:paraId="496E809D" w14:textId="27A6AB08" w:rsidR="00116B59" w:rsidRPr="00064919" w:rsidRDefault="00116B59" w:rsidP="00116B59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 xml:space="preserve">Під час лікування препаратом відмічали зміни показників крові, </w:t>
      </w:r>
      <w:r w:rsidR="00BE748A" w:rsidRPr="00064919">
        <w:rPr>
          <w:rFonts w:asciiTheme="majorBidi" w:hAnsiTheme="majorBidi" w:cstheme="majorBidi"/>
          <w:sz w:val="24"/>
          <w:szCs w:val="24"/>
          <w:shd w:val="clear" w:color="auto" w:fill="FFFFFF"/>
        </w:rPr>
        <w:t>а саме</w:t>
      </w:r>
      <w:r w:rsidR="00BE748A" w:rsidRPr="00064919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 xml:space="preserve"> </w:t>
      </w:r>
      <w:r w:rsidRPr="00064919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>збільшення середнього вмісту холестерину в сироватці крові; і зниження середньої кількості лейкоцитів, проте, всі інші показники залишались у межах норми. Зменшення середнього числа лейкоцитів не було прогресивним і впливало на кількість усіх білих кров’яних тілець (</w:t>
      </w:r>
      <w:proofErr w:type="spellStart"/>
      <w:r w:rsidRPr="00064919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>нейтрофілів</w:t>
      </w:r>
      <w:proofErr w:type="spellEnd"/>
      <w:r w:rsidRPr="00064919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>, еозинофілів та моноцитів), за винятком лімфоцитів. Але всі ці зміни не мали суттєвого клінічного значення.</w:t>
      </w:r>
    </w:p>
    <w:p w14:paraId="51C0CC58" w14:textId="2F48D3FD" w:rsidR="00770580" w:rsidRPr="00064919" w:rsidRDefault="00116B59" w:rsidP="00116B59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iCs/>
          <w:sz w:val="24"/>
          <w:szCs w:val="24"/>
          <w:lang w:eastAsia="ru-RU"/>
        </w:rPr>
        <w:t>Під час лабораторних досліджень було зафіксовано розвиток папілом у деяких собак.</w:t>
      </w:r>
    </w:p>
    <w:p w14:paraId="377FCAB9" w14:textId="77777777" w:rsidR="00BD58C1" w:rsidRPr="00064919" w:rsidRDefault="00BD58C1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5.5 Особливі застереження при використанні</w:t>
      </w:r>
    </w:p>
    <w:p w14:paraId="3C83B079" w14:textId="0CC2F4E3" w:rsidR="00116B59" w:rsidRPr="00064919" w:rsidRDefault="00116B59" w:rsidP="00116B59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proofErr w:type="spellStart"/>
      <w:r w:rsidRPr="00064919">
        <w:rPr>
          <w:rFonts w:asciiTheme="majorBidi" w:hAnsiTheme="majorBidi" w:cstheme="majorBidi"/>
          <w:sz w:val="24"/>
          <w:szCs w:val="24"/>
          <w:shd w:val="clear" w:color="auto" w:fill="FFFFFF"/>
        </w:rPr>
        <w:t>Оклацитиніб</w:t>
      </w:r>
      <w:proofErr w:type="spellEnd"/>
      <w:r w:rsidRPr="0006491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модулює імунну систему і може підвищити сприйнятливість до інфекції та прискорити розвиток пухлинного процесу. Тому собак, яким застосовують </w:t>
      </w:r>
      <w:r w:rsidRPr="00064919">
        <w:rPr>
          <w:rFonts w:asciiTheme="majorBidi" w:hAnsiTheme="majorBidi" w:cstheme="majorBidi"/>
          <w:sz w:val="24"/>
          <w:szCs w:val="24"/>
        </w:rPr>
        <w:t>препарат</w:t>
      </w:r>
      <w:r w:rsidRPr="0006491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, потрібно контролювати на можливий розвиток інфекцій або пухлин. Перед початком лікування алергічного дерматиту препаратом необхідно виявити та пролікувати інші можливі причини захворювання (наприклад, блошиний дерматит, контактний дерматит або харчова </w:t>
      </w:r>
      <w:proofErr w:type="spellStart"/>
      <w:r w:rsidRPr="00064919">
        <w:rPr>
          <w:rFonts w:asciiTheme="majorBidi" w:hAnsiTheme="majorBidi" w:cstheme="majorBidi"/>
          <w:sz w:val="24"/>
          <w:szCs w:val="24"/>
          <w:shd w:val="clear" w:color="auto" w:fill="FFFFFF"/>
        </w:rPr>
        <w:t>гіперчутливість</w:t>
      </w:r>
      <w:proofErr w:type="spellEnd"/>
      <w:r w:rsidRPr="0006491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). Крім того, під час лікування тварин, хворих на алергічний та </w:t>
      </w:r>
      <w:proofErr w:type="spellStart"/>
      <w:r w:rsidRPr="00064919">
        <w:rPr>
          <w:rFonts w:asciiTheme="majorBidi" w:hAnsiTheme="majorBidi" w:cstheme="majorBidi"/>
          <w:sz w:val="24"/>
          <w:szCs w:val="24"/>
          <w:shd w:val="clear" w:color="auto" w:fill="FFFFFF"/>
        </w:rPr>
        <w:t>атопічний</w:t>
      </w:r>
      <w:proofErr w:type="spellEnd"/>
      <w:r w:rsidRPr="0006491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дерматит, рекомендовано виявити та усунути ускладнюючі фактори, </w:t>
      </w:r>
      <w:r w:rsidR="00BE748A" w:rsidRPr="00064919">
        <w:rPr>
          <w:rFonts w:asciiTheme="majorBidi" w:hAnsiTheme="majorBidi" w:cstheme="majorBidi"/>
          <w:sz w:val="24"/>
          <w:szCs w:val="24"/>
          <w:shd w:val="clear" w:color="auto" w:fill="FFFFFF"/>
        </w:rPr>
        <w:t>а саме</w:t>
      </w:r>
      <w:r w:rsidRPr="0006491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, бактеріальні, </w:t>
      </w:r>
      <w:proofErr w:type="spellStart"/>
      <w:r w:rsidRPr="00064919">
        <w:rPr>
          <w:rFonts w:asciiTheme="majorBidi" w:hAnsiTheme="majorBidi" w:cstheme="majorBidi"/>
          <w:sz w:val="24"/>
          <w:szCs w:val="24"/>
          <w:shd w:val="clear" w:color="auto" w:fill="FFFFFF"/>
        </w:rPr>
        <w:t>мікозні</w:t>
      </w:r>
      <w:proofErr w:type="spellEnd"/>
      <w:r w:rsidRPr="00064919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або паразитарні інфекції/інвазії (наприклад, блохи або короста).</w:t>
      </w:r>
    </w:p>
    <w:p w14:paraId="3EFDBA3A" w14:textId="2315E38E" w:rsidR="001B4C02" w:rsidRPr="00064919" w:rsidRDefault="00116B59" w:rsidP="00116B59">
      <w:pPr>
        <w:pStyle w:val="ab"/>
        <w:shd w:val="clear" w:color="auto" w:fill="FFFFFF"/>
        <w:spacing w:before="0" w:beforeAutospacing="0" w:after="0" w:afterAutospacing="0"/>
        <w:jc w:val="both"/>
        <w:rPr>
          <w:rFonts w:asciiTheme="majorBidi" w:hAnsiTheme="majorBidi" w:cstheme="majorBidi"/>
          <w:color w:val="101010"/>
          <w:lang w:val="uk-UA"/>
        </w:rPr>
      </w:pPr>
      <w:r w:rsidRPr="00064919">
        <w:rPr>
          <w:rFonts w:asciiTheme="majorBidi" w:hAnsiTheme="majorBidi" w:cstheme="majorBidi"/>
          <w:shd w:val="clear" w:color="auto" w:fill="FFFFFF"/>
          <w:lang w:val="uk-UA"/>
        </w:rPr>
        <w:t xml:space="preserve">Коли собака тривалий час приймає </w:t>
      </w:r>
      <w:r w:rsidRPr="00064919">
        <w:rPr>
          <w:rFonts w:asciiTheme="majorBidi" w:hAnsiTheme="majorBidi" w:cstheme="majorBidi"/>
          <w:lang w:val="uk-UA"/>
        </w:rPr>
        <w:t>препарат</w:t>
      </w:r>
      <w:r w:rsidRPr="00064919">
        <w:rPr>
          <w:rFonts w:asciiTheme="majorBidi" w:hAnsiTheme="majorBidi" w:cstheme="majorBidi"/>
          <w:shd w:val="clear" w:color="auto" w:fill="FFFFFF"/>
          <w:lang w:val="uk-UA"/>
        </w:rPr>
        <w:t>, необхідно проводити моніторинг стану організму шляхом контролю норм показників крові (загальний та біохімічний аналіз крові).</w:t>
      </w:r>
    </w:p>
    <w:p w14:paraId="1CA6069B" w14:textId="77777777" w:rsidR="00BD58C1" w:rsidRPr="00064919" w:rsidRDefault="00BD58C1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5.6 Використання під час вагітності, лактації, несучості</w:t>
      </w:r>
    </w:p>
    <w:p w14:paraId="2D0711AC" w14:textId="0AA91949" w:rsidR="001B4C02" w:rsidRPr="00064919" w:rsidRDefault="006909FF" w:rsidP="00FE4948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ru-RU" w:eastAsia="ru-RU"/>
        </w:rPr>
      </w:pPr>
      <w:r w:rsidRPr="00064919">
        <w:rPr>
          <w:rFonts w:asciiTheme="majorBidi" w:hAnsiTheme="majorBidi" w:cstheme="majorBidi"/>
          <w:color w:val="101010"/>
          <w:sz w:val="24"/>
          <w:szCs w:val="24"/>
          <w:shd w:val="clear" w:color="auto" w:fill="FFFFFF"/>
          <w:lang w:eastAsia="uk-UA"/>
        </w:rPr>
        <w:t xml:space="preserve">Безпечність застосування препарату </w:t>
      </w:r>
      <w:r w:rsidR="001B136D" w:rsidRPr="00064919">
        <w:rPr>
          <w:rFonts w:asciiTheme="majorBidi" w:hAnsiTheme="majorBidi" w:cstheme="majorBidi"/>
          <w:color w:val="101010"/>
          <w:sz w:val="24"/>
          <w:szCs w:val="24"/>
          <w:shd w:val="clear" w:color="auto" w:fill="FFFFFF"/>
          <w:lang w:eastAsia="uk-UA"/>
        </w:rPr>
        <w:t>в</w:t>
      </w:r>
      <w:r w:rsidRPr="00064919">
        <w:rPr>
          <w:rFonts w:asciiTheme="majorBidi" w:hAnsiTheme="majorBidi" w:cstheme="majorBidi"/>
          <w:color w:val="101010"/>
          <w:sz w:val="24"/>
          <w:szCs w:val="24"/>
          <w:shd w:val="clear" w:color="auto" w:fill="FFFFFF"/>
          <w:lang w:eastAsia="uk-UA"/>
        </w:rPr>
        <w:t xml:space="preserve"> самок під час вагітності та лактації, а також самцям, яких використовують для розведення, не досліджувалось</w:t>
      </w:r>
      <w:r w:rsidR="001B136D" w:rsidRPr="00064919">
        <w:rPr>
          <w:rFonts w:asciiTheme="majorBidi" w:hAnsiTheme="majorBidi" w:cstheme="majorBidi"/>
          <w:color w:val="101010"/>
          <w:sz w:val="24"/>
          <w:szCs w:val="24"/>
          <w:shd w:val="clear" w:color="auto" w:fill="FFFFFF"/>
          <w:lang w:eastAsia="uk-UA"/>
        </w:rPr>
        <w:t>, тому його застосування у вище</w:t>
      </w:r>
      <w:r w:rsidRPr="00064919">
        <w:rPr>
          <w:rFonts w:asciiTheme="majorBidi" w:hAnsiTheme="majorBidi" w:cstheme="majorBidi"/>
          <w:color w:val="101010"/>
          <w:sz w:val="24"/>
          <w:szCs w:val="24"/>
          <w:shd w:val="clear" w:color="auto" w:fill="FFFFFF"/>
          <w:lang w:eastAsia="uk-UA"/>
        </w:rPr>
        <w:t>зазначених групах тварин не рекомендовано.</w:t>
      </w:r>
    </w:p>
    <w:p w14:paraId="4082C295" w14:textId="2F49607B" w:rsidR="00BD58C1" w:rsidRPr="00064919" w:rsidRDefault="00BD58C1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5.7 Взаємодія з іншими засобами та інші форми взаємодії</w:t>
      </w:r>
    </w:p>
    <w:p w14:paraId="69BC6B00" w14:textId="6CF6BD00" w:rsidR="00816F53" w:rsidRPr="00064919" w:rsidRDefault="00816F53" w:rsidP="00816F53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У польових дослідженнях, де </w:t>
      </w:r>
      <w:proofErr w:type="spellStart"/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оклацитиніб</w:t>
      </w:r>
      <w:proofErr w:type="spellEnd"/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застосовували одночасно з ветеринарними лікарськими засобами, </w:t>
      </w:r>
      <w:r w:rsidR="00BE748A" w:rsidRPr="00064919">
        <w:rPr>
          <w:rFonts w:asciiTheme="majorBidi" w:hAnsiTheme="majorBidi" w:cstheme="majorBidi"/>
          <w:sz w:val="24"/>
          <w:szCs w:val="24"/>
          <w:shd w:val="clear" w:color="auto" w:fill="FFFFFF"/>
        </w:rPr>
        <w:t>а саме,</w:t>
      </w:r>
      <w:r w:rsidR="00BE748A"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proofErr w:type="spellStart"/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ендо</w:t>
      </w:r>
      <w:proofErr w:type="spellEnd"/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- та </w:t>
      </w:r>
      <w:proofErr w:type="spellStart"/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ектопаразитоциди</w:t>
      </w:r>
      <w:proofErr w:type="spellEnd"/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, протимікробні та протизапальні препарати, не спостерігалося жодних лікарських взаємодій.</w:t>
      </w:r>
    </w:p>
    <w:p w14:paraId="1E0B5E68" w14:textId="7C61CEDD" w:rsidR="00126D39" w:rsidRPr="00064919" w:rsidRDefault="00816F53" w:rsidP="00816F53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Вивчали вплив введення </w:t>
      </w:r>
      <w:proofErr w:type="spellStart"/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оклацитинібу</w:t>
      </w:r>
      <w:proofErr w:type="spellEnd"/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на вакцинацію модифікованими живими вакцинами </w:t>
      </w:r>
      <w:r w:rsidRPr="00064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проти </w:t>
      </w:r>
      <w:proofErr w:type="spellStart"/>
      <w:r w:rsidRPr="00064919">
        <w:rPr>
          <w:rFonts w:ascii="Times New Roman" w:hAnsi="Times New Roman" w:cs="Times New Roman"/>
          <w:sz w:val="24"/>
          <w:szCs w:val="24"/>
          <w:shd w:val="clear" w:color="auto" w:fill="FFFFFF"/>
        </w:rPr>
        <w:t>парвовірусного</w:t>
      </w:r>
      <w:proofErr w:type="spellEnd"/>
      <w:r w:rsidRPr="000649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ентериту</w:t>
      </w:r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собак (</w:t>
      </w:r>
      <w:r w:rsidRPr="00064919">
        <w:rPr>
          <w:rFonts w:asciiTheme="majorBidi" w:eastAsia="Times New Roman" w:hAnsiTheme="majorBidi" w:cstheme="majorBidi"/>
          <w:sz w:val="24"/>
          <w:szCs w:val="24"/>
          <w:lang w:val="en-US" w:eastAsia="ru-RU"/>
        </w:rPr>
        <w:t>canine</w:t>
      </w:r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r w:rsidRPr="00064919">
        <w:rPr>
          <w:rFonts w:asciiTheme="majorBidi" w:eastAsia="Times New Roman" w:hAnsiTheme="majorBidi" w:cstheme="majorBidi"/>
          <w:sz w:val="24"/>
          <w:szCs w:val="24"/>
          <w:lang w:val="en-US" w:eastAsia="ru-RU"/>
        </w:rPr>
        <w:t>parvovirus</w:t>
      </w:r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, CPV), чуми собак (</w:t>
      </w:r>
      <w:r w:rsidRPr="00064919">
        <w:rPr>
          <w:rFonts w:asciiTheme="majorBidi" w:eastAsia="Times New Roman" w:hAnsiTheme="majorBidi" w:cstheme="majorBidi"/>
          <w:sz w:val="24"/>
          <w:szCs w:val="24"/>
          <w:lang w:val="en-US" w:eastAsia="ru-RU"/>
        </w:rPr>
        <w:t>canine</w:t>
      </w:r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r w:rsidRPr="00064919">
        <w:rPr>
          <w:rFonts w:asciiTheme="majorBidi" w:eastAsia="Times New Roman" w:hAnsiTheme="majorBidi" w:cstheme="majorBidi"/>
          <w:sz w:val="24"/>
          <w:szCs w:val="24"/>
          <w:lang w:val="en-US" w:eastAsia="ru-RU"/>
        </w:rPr>
        <w:t>distemper</w:t>
      </w:r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r w:rsidRPr="00064919">
        <w:rPr>
          <w:rFonts w:asciiTheme="majorBidi" w:eastAsia="Times New Roman" w:hAnsiTheme="majorBidi" w:cstheme="majorBidi"/>
          <w:sz w:val="24"/>
          <w:szCs w:val="24"/>
          <w:lang w:val="en-US" w:eastAsia="ru-RU"/>
        </w:rPr>
        <w:t>virus</w:t>
      </w:r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, CDV) та парагрипу собак (</w:t>
      </w:r>
      <w:r w:rsidRPr="00064919">
        <w:rPr>
          <w:rFonts w:asciiTheme="majorBidi" w:eastAsia="Times New Roman" w:hAnsiTheme="majorBidi" w:cstheme="majorBidi"/>
          <w:sz w:val="24"/>
          <w:szCs w:val="24"/>
          <w:lang w:val="en-US" w:eastAsia="ru-RU"/>
        </w:rPr>
        <w:t>canine</w:t>
      </w:r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r w:rsidRPr="00064919">
        <w:rPr>
          <w:rFonts w:asciiTheme="majorBidi" w:eastAsia="Times New Roman" w:hAnsiTheme="majorBidi" w:cstheme="majorBidi"/>
          <w:sz w:val="24"/>
          <w:szCs w:val="24"/>
          <w:lang w:val="en-US" w:eastAsia="ru-RU"/>
        </w:rPr>
        <w:t>parainfluenza</w:t>
      </w:r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, CPI), а також </w:t>
      </w:r>
      <w:proofErr w:type="spellStart"/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інактивованою</w:t>
      </w:r>
      <w:proofErr w:type="spellEnd"/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вакциною проти сказу (</w:t>
      </w:r>
      <w:r w:rsidRPr="00064919">
        <w:rPr>
          <w:rFonts w:asciiTheme="majorBidi" w:eastAsia="Times New Roman" w:hAnsiTheme="majorBidi" w:cstheme="majorBidi"/>
          <w:sz w:val="24"/>
          <w:szCs w:val="24"/>
          <w:lang w:val="en-US" w:eastAsia="ru-RU"/>
        </w:rPr>
        <w:t>rabies</w:t>
      </w:r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r w:rsidRPr="00064919">
        <w:rPr>
          <w:rFonts w:asciiTheme="majorBidi" w:eastAsia="Times New Roman" w:hAnsiTheme="majorBidi" w:cstheme="majorBidi"/>
          <w:sz w:val="24"/>
          <w:szCs w:val="24"/>
          <w:lang w:val="en-US" w:eastAsia="ru-RU"/>
        </w:rPr>
        <w:t>vaccine</w:t>
      </w:r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, RV), на 16-</w:t>
      </w:r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lastRenderedPageBreak/>
        <w:t xml:space="preserve">тижневих цуценятах, які не були вакциновані. Адекватна імунна відповідь (серологія) на вакцинацію CDV та CPV була досягнута, коли цуценятам вводили </w:t>
      </w:r>
      <w:proofErr w:type="spellStart"/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оклацитиніб</w:t>
      </w:r>
      <w:proofErr w:type="spellEnd"/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у дозі 1,8 мг/кг маси тіла двічі на добу протягом 84 діб. Однак, результати цього дослідження показали зниження серологічної відповіді на вакцинацію CPI та RV у цуценят, які отримували </w:t>
      </w:r>
      <w:proofErr w:type="spellStart"/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оклацитиніб</w:t>
      </w:r>
      <w:proofErr w:type="spellEnd"/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, порівняно з контрольною групою, яка не отримувала лікування. Клінічне значення цих спостережуваних ефектів для тварин, вакцинованих під час введення </w:t>
      </w:r>
      <w:proofErr w:type="spellStart"/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оклацитинібу</w:t>
      </w:r>
      <w:proofErr w:type="spellEnd"/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(відповідно до рекомендованого режиму дозування), є не визначеним.</w:t>
      </w:r>
    </w:p>
    <w:p w14:paraId="1D830728" w14:textId="520B6857" w:rsidR="00BD58C1" w:rsidRPr="00064919" w:rsidRDefault="00BD58C1" w:rsidP="00126D39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5.8 Дози і способи введення тваринам різного віку</w:t>
      </w:r>
    </w:p>
    <w:p w14:paraId="5E982AB2" w14:textId="77777777" w:rsidR="00116B59" w:rsidRPr="00064919" w:rsidRDefault="00116B59" w:rsidP="00116B59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proofErr w:type="spellStart"/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Перорально</w:t>
      </w:r>
      <w:proofErr w:type="spellEnd"/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в початковій дозі 0,4–0,6 мг </w:t>
      </w:r>
      <w:proofErr w:type="spellStart"/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оклацитинібу</w:t>
      </w:r>
      <w:proofErr w:type="spellEnd"/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на 1 кг маси тіла тварини два рази на добу протягом 14 діб.</w:t>
      </w:r>
    </w:p>
    <w:p w14:paraId="0EAADC5D" w14:textId="77777777" w:rsidR="00116B59" w:rsidRPr="00064919" w:rsidRDefault="00116B59" w:rsidP="00116B5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Для підтримуючої терапії, в тій же дозі (0,4–0,6 мг </w:t>
      </w:r>
      <w:proofErr w:type="spellStart"/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оклацитинібу</w:t>
      </w:r>
      <w:proofErr w:type="spellEnd"/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на 1 кг маси тіла) препарат задають один раз на добу. Необхідність тривалої підтримуючої терапії повинна ґрунтуватись на індивідуальній оцінці користі і ризику</w:t>
      </w:r>
      <w:r w:rsidRPr="00064919">
        <w:t xml:space="preserve"> </w:t>
      </w:r>
      <w:r w:rsidRPr="00064919">
        <w:rPr>
          <w:rFonts w:ascii="Times New Roman" w:hAnsi="Times New Roman" w:cs="Times New Roman"/>
          <w:sz w:val="24"/>
          <w:szCs w:val="24"/>
        </w:rPr>
        <w:t>проведеної лікарем ветеринарної медицини</w:t>
      </w:r>
      <w:r w:rsidRPr="000649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BD48C43" w14:textId="77777777" w:rsidR="00116B59" w:rsidRPr="00064919" w:rsidRDefault="00116B59" w:rsidP="00116B59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Препарат застосовують разом з кормом або без. Таблетки можуть бути розділені на рівні половинки.</w:t>
      </w:r>
    </w:p>
    <w:p w14:paraId="3415D430" w14:textId="77777777" w:rsidR="00116B59" w:rsidRPr="00064919" w:rsidRDefault="00116B59" w:rsidP="00116B59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Дози </w:t>
      </w:r>
      <w:proofErr w:type="spellStart"/>
      <w:r w:rsidRPr="00064919">
        <w:rPr>
          <w:rFonts w:asciiTheme="majorBidi" w:hAnsiTheme="majorBidi" w:cstheme="majorBidi"/>
          <w:sz w:val="24"/>
          <w:szCs w:val="24"/>
        </w:rPr>
        <w:t>Оклавілю</w:t>
      </w:r>
      <w:proofErr w:type="spellEnd"/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, залежно від маси тіла собаки і дозування надані в таблиці нижче: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116B59" w:rsidRPr="00064919" w14:paraId="573F92A3" w14:textId="77777777" w:rsidTr="00AC5942">
        <w:tc>
          <w:tcPr>
            <w:tcW w:w="3737" w:type="dxa"/>
            <w:gridSpan w:val="2"/>
            <w:vMerge w:val="restart"/>
          </w:tcPr>
          <w:p w14:paraId="4479F3DA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Маса тіла собаки, кг</w:t>
            </w:r>
          </w:p>
        </w:tc>
        <w:tc>
          <w:tcPr>
            <w:tcW w:w="5607" w:type="dxa"/>
            <w:gridSpan w:val="3"/>
          </w:tcPr>
          <w:p w14:paraId="158CD7CD" w14:textId="77777777" w:rsidR="00116B59" w:rsidRPr="00064919" w:rsidRDefault="00116B59" w:rsidP="00AC5942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 xml:space="preserve">Разова доза </w:t>
            </w:r>
            <w:proofErr w:type="spellStart"/>
            <w:r w:rsidRPr="00064919">
              <w:rPr>
                <w:rFonts w:asciiTheme="majorBidi" w:hAnsiTheme="majorBidi" w:cstheme="majorBidi"/>
                <w:color w:val="121212"/>
                <w:sz w:val="24"/>
                <w:szCs w:val="24"/>
              </w:rPr>
              <w:t>Оклавілю</w:t>
            </w:r>
            <w:proofErr w:type="spellEnd"/>
            <w:r w:rsidRPr="00064919">
              <w:rPr>
                <w:rFonts w:asciiTheme="majorBidi" w:hAnsiTheme="majorBidi" w:cstheme="majorBidi"/>
                <w:sz w:val="24"/>
                <w:szCs w:val="24"/>
              </w:rPr>
              <w:t xml:space="preserve"> – кількість таблеток на один прийом</w:t>
            </w:r>
          </w:p>
        </w:tc>
      </w:tr>
      <w:tr w:rsidR="00116B59" w:rsidRPr="00064919" w14:paraId="4CA295FA" w14:textId="77777777" w:rsidTr="00AC5942">
        <w:tc>
          <w:tcPr>
            <w:tcW w:w="3737" w:type="dxa"/>
            <w:gridSpan w:val="2"/>
            <w:vMerge/>
          </w:tcPr>
          <w:p w14:paraId="3CE955C6" w14:textId="77777777" w:rsidR="00116B59" w:rsidRPr="00064919" w:rsidRDefault="00116B59" w:rsidP="00AC5942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607" w:type="dxa"/>
            <w:gridSpan w:val="3"/>
          </w:tcPr>
          <w:p w14:paraId="5E8C6F9C" w14:textId="77777777" w:rsidR="00116B59" w:rsidRPr="00064919" w:rsidRDefault="00116B59" w:rsidP="00AC5942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 xml:space="preserve">Дозування – </w:t>
            </w:r>
            <w:proofErr w:type="spellStart"/>
            <w:r w:rsidRPr="00064919">
              <w:rPr>
                <w:rFonts w:asciiTheme="majorBidi" w:hAnsiTheme="majorBidi" w:cstheme="majorBidi"/>
                <w:sz w:val="24"/>
                <w:szCs w:val="24"/>
              </w:rPr>
              <w:t>оклацитиніб</w:t>
            </w:r>
            <w:proofErr w:type="spellEnd"/>
            <w:r w:rsidRPr="00064919">
              <w:rPr>
                <w:rFonts w:asciiTheme="majorBidi" w:hAnsiTheme="majorBidi" w:cstheme="majorBidi"/>
                <w:sz w:val="24"/>
                <w:szCs w:val="24"/>
              </w:rPr>
              <w:t>, мг/таблетку</w:t>
            </w:r>
          </w:p>
        </w:tc>
      </w:tr>
      <w:tr w:rsidR="00116B59" w:rsidRPr="00064919" w14:paraId="77E51B7D" w14:textId="77777777" w:rsidTr="00AC5942">
        <w:tc>
          <w:tcPr>
            <w:tcW w:w="1868" w:type="dxa"/>
          </w:tcPr>
          <w:p w14:paraId="14607DA7" w14:textId="48F8649F" w:rsidR="00116B59" w:rsidRPr="00064919" w:rsidRDefault="00C31786" w:rsidP="00AC5942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Нижнє значення</w:t>
            </w:r>
          </w:p>
        </w:tc>
        <w:tc>
          <w:tcPr>
            <w:tcW w:w="1869" w:type="dxa"/>
          </w:tcPr>
          <w:p w14:paraId="54C11D60" w14:textId="7EADC719" w:rsidR="00116B59" w:rsidRPr="00064919" w:rsidRDefault="00C31786" w:rsidP="00AC5942">
            <w:pPr>
              <w:tabs>
                <w:tab w:val="left" w:pos="0"/>
              </w:tabs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Верхнє значення</w:t>
            </w:r>
          </w:p>
        </w:tc>
        <w:tc>
          <w:tcPr>
            <w:tcW w:w="1869" w:type="dxa"/>
          </w:tcPr>
          <w:p w14:paraId="0F90BE13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3,6 мг</w:t>
            </w:r>
          </w:p>
        </w:tc>
        <w:tc>
          <w:tcPr>
            <w:tcW w:w="1869" w:type="dxa"/>
          </w:tcPr>
          <w:p w14:paraId="3ED89C58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5,4 мг</w:t>
            </w:r>
          </w:p>
        </w:tc>
        <w:tc>
          <w:tcPr>
            <w:tcW w:w="1869" w:type="dxa"/>
          </w:tcPr>
          <w:p w14:paraId="16F2B3B6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16 мг</w:t>
            </w:r>
          </w:p>
        </w:tc>
      </w:tr>
      <w:tr w:rsidR="00116B59" w:rsidRPr="00064919" w14:paraId="015DE610" w14:textId="77777777" w:rsidTr="00AC5942">
        <w:tc>
          <w:tcPr>
            <w:tcW w:w="1868" w:type="dxa"/>
          </w:tcPr>
          <w:p w14:paraId="2B5C8A77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3,0</w:t>
            </w:r>
          </w:p>
        </w:tc>
        <w:tc>
          <w:tcPr>
            <w:tcW w:w="1869" w:type="dxa"/>
          </w:tcPr>
          <w:p w14:paraId="1838BB0B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4,4</w:t>
            </w:r>
          </w:p>
        </w:tc>
        <w:tc>
          <w:tcPr>
            <w:tcW w:w="1869" w:type="dxa"/>
          </w:tcPr>
          <w:p w14:paraId="536C573B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1/2</w:t>
            </w:r>
          </w:p>
        </w:tc>
        <w:tc>
          <w:tcPr>
            <w:tcW w:w="1869" w:type="dxa"/>
          </w:tcPr>
          <w:p w14:paraId="7E5B6226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  <w:tc>
          <w:tcPr>
            <w:tcW w:w="1869" w:type="dxa"/>
          </w:tcPr>
          <w:p w14:paraId="12D14557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</w:tr>
      <w:tr w:rsidR="00116B59" w:rsidRPr="00064919" w14:paraId="668880D8" w14:textId="77777777" w:rsidTr="00AC5942">
        <w:tc>
          <w:tcPr>
            <w:tcW w:w="1868" w:type="dxa"/>
          </w:tcPr>
          <w:p w14:paraId="0A4FA3EC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4,5</w:t>
            </w:r>
          </w:p>
        </w:tc>
        <w:tc>
          <w:tcPr>
            <w:tcW w:w="1869" w:type="dxa"/>
          </w:tcPr>
          <w:p w14:paraId="2C503961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5,9</w:t>
            </w:r>
          </w:p>
        </w:tc>
        <w:tc>
          <w:tcPr>
            <w:tcW w:w="1869" w:type="dxa"/>
          </w:tcPr>
          <w:p w14:paraId="1CB5F666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  <w:tc>
          <w:tcPr>
            <w:tcW w:w="1869" w:type="dxa"/>
          </w:tcPr>
          <w:p w14:paraId="0BBA7313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1/2</w:t>
            </w:r>
          </w:p>
        </w:tc>
        <w:tc>
          <w:tcPr>
            <w:tcW w:w="1869" w:type="dxa"/>
          </w:tcPr>
          <w:p w14:paraId="0ADD4ABA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</w:tr>
      <w:tr w:rsidR="00116B59" w:rsidRPr="00064919" w14:paraId="11B66CF4" w14:textId="77777777" w:rsidTr="00AC5942">
        <w:tc>
          <w:tcPr>
            <w:tcW w:w="1868" w:type="dxa"/>
          </w:tcPr>
          <w:p w14:paraId="1DC3DAAA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6,0</w:t>
            </w:r>
          </w:p>
        </w:tc>
        <w:tc>
          <w:tcPr>
            <w:tcW w:w="1869" w:type="dxa"/>
          </w:tcPr>
          <w:p w14:paraId="7DA87509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8,9</w:t>
            </w:r>
          </w:p>
        </w:tc>
        <w:tc>
          <w:tcPr>
            <w:tcW w:w="1869" w:type="dxa"/>
          </w:tcPr>
          <w:p w14:paraId="429ECCD6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14:paraId="6124FD3D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  <w:tc>
          <w:tcPr>
            <w:tcW w:w="1869" w:type="dxa"/>
          </w:tcPr>
          <w:p w14:paraId="631402A5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</w:tr>
      <w:tr w:rsidR="00116B59" w:rsidRPr="00064919" w14:paraId="507640E7" w14:textId="77777777" w:rsidTr="00AC5942">
        <w:tc>
          <w:tcPr>
            <w:tcW w:w="1868" w:type="dxa"/>
          </w:tcPr>
          <w:p w14:paraId="1E7E8D88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9,0</w:t>
            </w:r>
          </w:p>
        </w:tc>
        <w:tc>
          <w:tcPr>
            <w:tcW w:w="1869" w:type="dxa"/>
          </w:tcPr>
          <w:p w14:paraId="7808596B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13,4</w:t>
            </w:r>
          </w:p>
        </w:tc>
        <w:tc>
          <w:tcPr>
            <w:tcW w:w="1869" w:type="dxa"/>
          </w:tcPr>
          <w:p w14:paraId="735B54DB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  <w:tc>
          <w:tcPr>
            <w:tcW w:w="1869" w:type="dxa"/>
          </w:tcPr>
          <w:p w14:paraId="11D3407C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14:paraId="705D9050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</w:tr>
      <w:tr w:rsidR="00116B59" w:rsidRPr="00064919" w14:paraId="36E88037" w14:textId="77777777" w:rsidTr="00AC5942">
        <w:tc>
          <w:tcPr>
            <w:tcW w:w="1868" w:type="dxa"/>
          </w:tcPr>
          <w:p w14:paraId="63A4B0DD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13,5</w:t>
            </w:r>
          </w:p>
        </w:tc>
        <w:tc>
          <w:tcPr>
            <w:tcW w:w="1869" w:type="dxa"/>
          </w:tcPr>
          <w:p w14:paraId="4021EB0C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19,9</w:t>
            </w:r>
          </w:p>
        </w:tc>
        <w:tc>
          <w:tcPr>
            <w:tcW w:w="1869" w:type="dxa"/>
          </w:tcPr>
          <w:p w14:paraId="70430040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  <w:tc>
          <w:tcPr>
            <w:tcW w:w="1869" w:type="dxa"/>
          </w:tcPr>
          <w:p w14:paraId="556D8FBC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  <w:tc>
          <w:tcPr>
            <w:tcW w:w="1869" w:type="dxa"/>
          </w:tcPr>
          <w:p w14:paraId="672FFC22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1/2</w:t>
            </w:r>
          </w:p>
        </w:tc>
      </w:tr>
      <w:tr w:rsidR="00116B59" w:rsidRPr="00064919" w14:paraId="05B46F34" w14:textId="77777777" w:rsidTr="00AC5942">
        <w:tc>
          <w:tcPr>
            <w:tcW w:w="1868" w:type="dxa"/>
          </w:tcPr>
          <w:p w14:paraId="108B8BFC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20,0</w:t>
            </w:r>
          </w:p>
        </w:tc>
        <w:tc>
          <w:tcPr>
            <w:tcW w:w="1869" w:type="dxa"/>
          </w:tcPr>
          <w:p w14:paraId="5485F965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26,9</w:t>
            </w:r>
          </w:p>
        </w:tc>
        <w:tc>
          <w:tcPr>
            <w:tcW w:w="1869" w:type="dxa"/>
          </w:tcPr>
          <w:p w14:paraId="32BD7008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  <w:tc>
          <w:tcPr>
            <w:tcW w:w="1869" w:type="dxa"/>
          </w:tcPr>
          <w:p w14:paraId="287FC2AB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14:paraId="485BD2D7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</w:tr>
      <w:tr w:rsidR="00116B59" w:rsidRPr="00064919" w14:paraId="7A03F730" w14:textId="77777777" w:rsidTr="00AC5942">
        <w:tc>
          <w:tcPr>
            <w:tcW w:w="1868" w:type="dxa"/>
          </w:tcPr>
          <w:p w14:paraId="761AE359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27,0</w:t>
            </w:r>
          </w:p>
        </w:tc>
        <w:tc>
          <w:tcPr>
            <w:tcW w:w="1869" w:type="dxa"/>
          </w:tcPr>
          <w:p w14:paraId="0090B5C9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39,9</w:t>
            </w:r>
          </w:p>
        </w:tc>
        <w:tc>
          <w:tcPr>
            <w:tcW w:w="1869" w:type="dxa"/>
          </w:tcPr>
          <w:p w14:paraId="4A9A9B96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  <w:tc>
          <w:tcPr>
            <w:tcW w:w="1869" w:type="dxa"/>
          </w:tcPr>
          <w:p w14:paraId="284FB2D8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  <w:tc>
          <w:tcPr>
            <w:tcW w:w="1869" w:type="dxa"/>
          </w:tcPr>
          <w:p w14:paraId="148CD63F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</w:tr>
      <w:tr w:rsidR="00116B59" w:rsidRPr="00064919" w14:paraId="7986320B" w14:textId="77777777" w:rsidTr="00AC5942">
        <w:tc>
          <w:tcPr>
            <w:tcW w:w="1868" w:type="dxa"/>
          </w:tcPr>
          <w:p w14:paraId="052EF782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40,0</w:t>
            </w:r>
          </w:p>
        </w:tc>
        <w:tc>
          <w:tcPr>
            <w:tcW w:w="1869" w:type="dxa"/>
          </w:tcPr>
          <w:p w14:paraId="75D9EE7F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54,9</w:t>
            </w:r>
          </w:p>
        </w:tc>
        <w:tc>
          <w:tcPr>
            <w:tcW w:w="1869" w:type="dxa"/>
          </w:tcPr>
          <w:p w14:paraId="449F67C9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  <w:tc>
          <w:tcPr>
            <w:tcW w:w="1869" w:type="dxa"/>
          </w:tcPr>
          <w:p w14:paraId="325D685B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  <w:tc>
          <w:tcPr>
            <w:tcW w:w="1869" w:type="dxa"/>
          </w:tcPr>
          <w:p w14:paraId="447938D6" w14:textId="77777777" w:rsidR="00116B59" w:rsidRPr="00064919" w:rsidRDefault="00E419EE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ajorBid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</m:t>
                    </m:r>
                  </m:e>
                  <m:sup>
                    <m:f>
                      <m:fPr>
                        <m:type m:val="skw"/>
                        <m:ctrlPr>
                          <w:rPr>
                            <w:rFonts w:ascii="Cambria Math" w:hAnsi="Cambria Math" w:cstheme="majorBid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sup>
                </m:sSup>
              </m:oMath>
            </m:oMathPara>
          </w:p>
        </w:tc>
      </w:tr>
      <w:tr w:rsidR="00116B59" w:rsidRPr="00064919" w14:paraId="784A0DA7" w14:textId="77777777" w:rsidTr="00AC5942">
        <w:tc>
          <w:tcPr>
            <w:tcW w:w="1868" w:type="dxa"/>
          </w:tcPr>
          <w:p w14:paraId="2C3ADB11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55,0</w:t>
            </w:r>
          </w:p>
        </w:tc>
        <w:tc>
          <w:tcPr>
            <w:tcW w:w="1869" w:type="dxa"/>
          </w:tcPr>
          <w:p w14:paraId="68F2D372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80,0</w:t>
            </w:r>
          </w:p>
        </w:tc>
        <w:tc>
          <w:tcPr>
            <w:tcW w:w="1869" w:type="dxa"/>
          </w:tcPr>
          <w:p w14:paraId="46A6A610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  <w:tc>
          <w:tcPr>
            <w:tcW w:w="1869" w:type="dxa"/>
          </w:tcPr>
          <w:p w14:paraId="023D9200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–</w:t>
            </w:r>
          </w:p>
        </w:tc>
        <w:tc>
          <w:tcPr>
            <w:tcW w:w="1869" w:type="dxa"/>
          </w:tcPr>
          <w:p w14:paraId="0F16C9D8" w14:textId="77777777" w:rsidR="00116B59" w:rsidRPr="00064919" w:rsidRDefault="00116B59" w:rsidP="00AC5942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64919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</w:tr>
    </w:tbl>
    <w:p w14:paraId="418D2F00" w14:textId="40AB7CD3" w:rsidR="00BD58C1" w:rsidRPr="00064919" w:rsidRDefault="00BD58C1" w:rsidP="00BD58C1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5.9 Передозування (симптоми, невідкладні заходи, антидоти)</w:t>
      </w:r>
    </w:p>
    <w:p w14:paraId="67B76CB5" w14:textId="5E6EEF0E" w:rsidR="006909FF" w:rsidRPr="00064919" w:rsidRDefault="006909FF" w:rsidP="003E3049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За результатами досліджень передозувань (</w:t>
      </w:r>
      <w:proofErr w:type="spellStart"/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оклацитиніб</w:t>
      </w:r>
      <w:proofErr w:type="spellEnd"/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вводили здоровим собакам, породи </w:t>
      </w:r>
      <w:proofErr w:type="spellStart"/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бігль</w:t>
      </w:r>
      <w:proofErr w:type="spellEnd"/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, віком 1 рік, двічі на добу протягом 6 тижнів у дозі 0,6 мг на 1 кг маси тіла, а потім один раз на добу протягом 20 тижнів у дозі 0,3 мг на 1 кг маси тіла) спостерігали зміни клінічного стану, що вірогідно пов’язані із застосуванням препарату, а саме</w:t>
      </w:r>
      <w:r w:rsidR="00BC21C6"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,</w:t>
      </w:r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місце</w:t>
      </w:r>
      <w:r w:rsidR="003E3049"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ві алопеції, папіломи, дерматит</w:t>
      </w:r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, </w:t>
      </w:r>
      <w:r w:rsidR="003E3049"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еритему, садно, </w:t>
      </w:r>
      <w:proofErr w:type="spellStart"/>
      <w:r w:rsidR="003E3049"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міжпальцеву</w:t>
      </w:r>
      <w:proofErr w:type="spellEnd"/>
      <w:r w:rsidR="003E3049"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кісту та набряк лап</w:t>
      </w:r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.</w:t>
      </w:r>
    </w:p>
    <w:p w14:paraId="18431D89" w14:textId="5028748E" w:rsidR="00725042" w:rsidRPr="00064919" w:rsidRDefault="006909FF" w:rsidP="00725042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Дерматит у більшості випадків був вторинним по відношенню до </w:t>
      </w:r>
      <w:proofErr w:type="spellStart"/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міжпальцевого</w:t>
      </w:r>
      <w:proofErr w:type="spellEnd"/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фурункульозу на одній або більше лапах, а його частота збільшувалася при збільшенні дози. </w:t>
      </w:r>
      <w:r w:rsidR="00BE748A"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Збільшення лімфатичних периферичних вузлів було </w:t>
      </w:r>
      <w:proofErr w:type="spellStart"/>
      <w:r w:rsidR="00BE748A"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відмічено</w:t>
      </w:r>
      <w:proofErr w:type="spellEnd"/>
      <w:r w:rsidR="00BE748A"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в тварин усіх дослідних груп. </w:t>
      </w:r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Кількість таких явищ </w:t>
      </w:r>
      <w:r w:rsidR="00725042"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ставала частішою при збільшенні дози, що</w:t>
      </w:r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часто спостері</w:t>
      </w:r>
      <w:r w:rsidR="00725042"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гали</w:t>
      </w:r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разо</w:t>
      </w:r>
      <w:r w:rsidR="00725042"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м з </w:t>
      </w:r>
      <w:proofErr w:type="spellStart"/>
      <w:r w:rsidR="00725042"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міжпальцевим</w:t>
      </w:r>
      <w:proofErr w:type="spellEnd"/>
      <w:r w:rsidR="00725042"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фурункульозом.</w:t>
      </w:r>
    </w:p>
    <w:p w14:paraId="056DBB69" w14:textId="4A73D82A" w:rsidR="00593BF7" w:rsidRPr="00064919" w:rsidRDefault="006909FF" w:rsidP="00725042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Специ</w:t>
      </w:r>
      <w:r w:rsidR="00BC21C6"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фічних антидотів немає, тому в</w:t>
      </w:r>
      <w:r w:rsidR="00725042"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разі передозування</w:t>
      </w:r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застос</w:t>
      </w:r>
      <w:r w:rsidR="00725042"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овують симптоматичне лікування.</w:t>
      </w:r>
    </w:p>
    <w:p w14:paraId="1BE2A28C" w14:textId="5DBB685C" w:rsidR="00BD58C1" w:rsidRPr="00064919" w:rsidRDefault="00BD58C1" w:rsidP="00A25652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5.10 Спеціальні застереження</w:t>
      </w:r>
    </w:p>
    <w:p w14:paraId="608293F3" w14:textId="521345B1" w:rsidR="00BD58C1" w:rsidRPr="00064919" w:rsidRDefault="00620543" w:rsidP="00620543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Немає.</w:t>
      </w:r>
    </w:p>
    <w:p w14:paraId="0C72A8DF" w14:textId="77777777" w:rsidR="00BD58C1" w:rsidRPr="00064919" w:rsidRDefault="00BD58C1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5.11 Період виведення (</w:t>
      </w:r>
      <w:proofErr w:type="spellStart"/>
      <w:r w:rsidRPr="00064919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каренції</w:t>
      </w:r>
      <w:proofErr w:type="spellEnd"/>
      <w:r w:rsidRPr="00064919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)</w:t>
      </w:r>
    </w:p>
    <w:p w14:paraId="38E29D1B" w14:textId="2648FB35" w:rsidR="00BD58C1" w:rsidRPr="00064919" w:rsidRDefault="00FB7F68" w:rsidP="00725042">
      <w:pPr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Відсутній</w:t>
      </w:r>
      <w:r w:rsidR="00725042" w:rsidRPr="00064919">
        <w:rPr>
          <w:rFonts w:asciiTheme="majorBidi" w:eastAsia="Times New Roman" w:hAnsiTheme="majorBidi" w:cstheme="majorBidi"/>
          <w:sz w:val="24"/>
          <w:szCs w:val="24"/>
          <w:lang w:eastAsia="ru-RU"/>
        </w:rPr>
        <w:t>.</w:t>
      </w:r>
    </w:p>
    <w:p w14:paraId="68B1D71E" w14:textId="77777777" w:rsidR="00BD58C1" w:rsidRPr="00064919" w:rsidRDefault="00BD58C1" w:rsidP="00BD58C1">
      <w:pPr>
        <w:tabs>
          <w:tab w:val="left" w:pos="0"/>
        </w:tabs>
        <w:spacing w:after="0" w:line="240" w:lineRule="auto"/>
        <w:rPr>
          <w:rFonts w:asciiTheme="majorBidi" w:eastAsia="Times New Roman" w:hAnsiTheme="majorBidi" w:cstheme="majorBidi"/>
          <w:b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b/>
          <w:sz w:val="24"/>
          <w:szCs w:val="24"/>
          <w:lang w:eastAsia="ru-RU"/>
        </w:rPr>
        <w:lastRenderedPageBreak/>
        <w:t>5.12 Спеціальні застереження для осіб і обслуговуючого персоналу</w:t>
      </w:r>
    </w:p>
    <w:p w14:paraId="47112BC3" w14:textId="77777777" w:rsidR="00725042" w:rsidRPr="00064919" w:rsidRDefault="00725042" w:rsidP="00725042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64919">
        <w:rPr>
          <w:rFonts w:asciiTheme="majorBidi" w:hAnsiTheme="majorBidi" w:cstheme="majorBidi"/>
          <w:sz w:val="24"/>
          <w:szCs w:val="24"/>
        </w:rPr>
        <w:t>Потрібно вимити руки після введення препарату.</w:t>
      </w:r>
    </w:p>
    <w:p w14:paraId="09969097" w14:textId="574FD9FC" w:rsidR="00BD58C1" w:rsidRPr="00064919" w:rsidRDefault="00725042" w:rsidP="00FE4948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064919">
        <w:rPr>
          <w:rFonts w:asciiTheme="majorBidi" w:hAnsiTheme="majorBidi" w:cstheme="majorBidi"/>
          <w:sz w:val="24"/>
          <w:szCs w:val="24"/>
        </w:rPr>
        <w:t xml:space="preserve">У разі вживання людиною препарату </w:t>
      </w:r>
      <w:proofErr w:type="spellStart"/>
      <w:r w:rsidR="00FE4948" w:rsidRPr="00064919">
        <w:rPr>
          <w:rFonts w:asciiTheme="majorBidi" w:hAnsiTheme="majorBidi" w:cstheme="majorBidi"/>
          <w:color w:val="121212"/>
          <w:sz w:val="24"/>
          <w:szCs w:val="24"/>
        </w:rPr>
        <w:t>Оклавіль</w:t>
      </w:r>
      <w:proofErr w:type="spellEnd"/>
      <w:r w:rsidRPr="00064919">
        <w:rPr>
          <w:rFonts w:asciiTheme="majorBidi" w:hAnsiTheme="majorBidi" w:cstheme="majorBidi"/>
          <w:sz w:val="24"/>
          <w:szCs w:val="24"/>
        </w:rPr>
        <w:t xml:space="preserve"> таблетки для собак потрібно негайно звернутис</w:t>
      </w:r>
      <w:r w:rsidR="00EE4DF5" w:rsidRPr="00064919">
        <w:rPr>
          <w:rFonts w:asciiTheme="majorBidi" w:hAnsiTheme="majorBidi" w:cstheme="majorBidi"/>
          <w:sz w:val="24"/>
          <w:szCs w:val="24"/>
        </w:rPr>
        <w:t>я до лікаря і показати листівку-</w:t>
      </w:r>
      <w:r w:rsidRPr="00064919">
        <w:rPr>
          <w:rFonts w:asciiTheme="majorBidi" w:hAnsiTheme="majorBidi" w:cstheme="majorBidi"/>
          <w:sz w:val="24"/>
          <w:szCs w:val="24"/>
        </w:rPr>
        <w:t>вкладку.</w:t>
      </w:r>
    </w:p>
    <w:p w14:paraId="694E3E6E" w14:textId="77777777" w:rsidR="00A22666" w:rsidRDefault="00A22666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</w:p>
    <w:p w14:paraId="15EF1655" w14:textId="77777777" w:rsidR="00A22666" w:rsidRDefault="00A22666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</w:p>
    <w:p w14:paraId="7035998A" w14:textId="6C65BC20" w:rsidR="00BD58C1" w:rsidRPr="00064919" w:rsidRDefault="00BD58C1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6. Фармацевтичні особливості</w:t>
      </w:r>
    </w:p>
    <w:p w14:paraId="5350352C" w14:textId="77777777" w:rsidR="00BD58C1" w:rsidRPr="00064919" w:rsidRDefault="00BD58C1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</w:rPr>
      </w:pPr>
      <w:r w:rsidRPr="00064919">
        <w:rPr>
          <w:rFonts w:asciiTheme="majorBidi" w:eastAsia="Times New Roman" w:hAnsiTheme="majorBidi" w:cstheme="majorBidi"/>
          <w:b/>
          <w:snapToGrid w:val="0"/>
          <w:sz w:val="24"/>
          <w:szCs w:val="24"/>
        </w:rPr>
        <w:t>6.1 Форми несумісності (основні)</w:t>
      </w:r>
    </w:p>
    <w:p w14:paraId="4714C482" w14:textId="77777777" w:rsidR="00BD58C1" w:rsidRPr="00064919" w:rsidRDefault="00BD58C1" w:rsidP="00BD58C1">
      <w:pPr>
        <w:widowControl w:val="0"/>
        <w:tabs>
          <w:tab w:val="left" w:pos="0"/>
        </w:tabs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</w:rPr>
      </w:pPr>
      <w:r w:rsidRPr="00064919">
        <w:rPr>
          <w:rFonts w:asciiTheme="majorBidi" w:eastAsia="Times New Roman" w:hAnsiTheme="majorBidi" w:cstheme="majorBidi"/>
          <w:snapToGrid w:val="0"/>
          <w:sz w:val="24"/>
          <w:szCs w:val="24"/>
        </w:rPr>
        <w:t>Не описані.</w:t>
      </w:r>
    </w:p>
    <w:p w14:paraId="02C37BCF" w14:textId="77777777" w:rsidR="00BD58C1" w:rsidRPr="00064919" w:rsidRDefault="00BD58C1" w:rsidP="00BD58C1">
      <w:pPr>
        <w:widowControl w:val="0"/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6.2 Термін придатності</w:t>
      </w:r>
    </w:p>
    <w:p w14:paraId="208399D7" w14:textId="2FD40F98" w:rsidR="003F4489" w:rsidRPr="00064919" w:rsidRDefault="006E01B8" w:rsidP="003F4489">
      <w:pPr>
        <w:widowControl w:val="0"/>
        <w:spacing w:after="0" w:line="240" w:lineRule="auto"/>
        <w:jc w:val="both"/>
        <w:rPr>
          <w:rFonts w:asciiTheme="majorBidi" w:eastAsia="CG Times" w:hAnsiTheme="majorBidi" w:cstheme="majorBidi"/>
          <w:sz w:val="24"/>
          <w:szCs w:val="24"/>
          <w:lang w:eastAsia="ru-RU"/>
        </w:rPr>
      </w:pPr>
      <w:r w:rsidRPr="00064919">
        <w:rPr>
          <w:rFonts w:asciiTheme="majorBidi" w:eastAsia="CG Times" w:hAnsiTheme="majorBidi" w:cstheme="majorBidi"/>
          <w:sz w:val="24"/>
          <w:szCs w:val="24"/>
          <w:lang w:eastAsia="ru-RU"/>
        </w:rPr>
        <w:t>3</w:t>
      </w:r>
      <w:r w:rsidR="003F4489" w:rsidRPr="00064919">
        <w:rPr>
          <w:rFonts w:asciiTheme="majorBidi" w:eastAsia="CG Times" w:hAnsiTheme="majorBidi" w:cstheme="majorBidi"/>
          <w:sz w:val="24"/>
          <w:szCs w:val="24"/>
          <w:lang w:eastAsia="ru-RU"/>
        </w:rPr>
        <w:t xml:space="preserve"> роки.</w:t>
      </w:r>
    </w:p>
    <w:p w14:paraId="378C8194" w14:textId="77777777" w:rsidR="00BD58C1" w:rsidRPr="00064919" w:rsidRDefault="00BD58C1" w:rsidP="00BD58C1">
      <w:pPr>
        <w:widowControl w:val="0"/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6.3 Особливі заходи зберігання</w:t>
      </w:r>
    </w:p>
    <w:p w14:paraId="5478C7F1" w14:textId="23122C72" w:rsidR="00725042" w:rsidRPr="00064919" w:rsidRDefault="00725042" w:rsidP="00725042">
      <w:pPr>
        <w:widowControl w:val="0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ar-SA"/>
        </w:rPr>
      </w:pPr>
      <w:r w:rsidRPr="00064919">
        <w:rPr>
          <w:rFonts w:asciiTheme="majorBidi" w:eastAsia="Times New Roman" w:hAnsiTheme="majorBidi" w:cstheme="majorBidi"/>
          <w:sz w:val="24"/>
          <w:szCs w:val="24"/>
          <w:lang w:eastAsia="ar-SA"/>
        </w:rPr>
        <w:t>Зберігати в сухому</w:t>
      </w:r>
      <w:r w:rsidR="00BC21C6" w:rsidRPr="00064919">
        <w:rPr>
          <w:rFonts w:asciiTheme="majorBidi" w:eastAsia="Times New Roman" w:hAnsiTheme="majorBidi" w:cstheme="majorBidi"/>
          <w:sz w:val="24"/>
          <w:szCs w:val="24"/>
          <w:lang w:eastAsia="ar-SA"/>
        </w:rPr>
        <w:t>,</w:t>
      </w:r>
      <w:r w:rsidRPr="00064919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темному</w:t>
      </w:r>
      <w:r w:rsidR="00BC21C6" w:rsidRPr="00064919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місці при температурі від 15 </w:t>
      </w:r>
      <w:r w:rsidR="00A22666" w:rsidRPr="00064919">
        <w:rPr>
          <w:rFonts w:asciiTheme="majorBidi" w:hAnsiTheme="majorBidi" w:cstheme="majorBidi"/>
          <w:sz w:val="24"/>
          <w:szCs w:val="24"/>
        </w:rPr>
        <w:t>°С</w:t>
      </w:r>
      <w:r w:rsidR="00A22666" w:rsidRPr="00064919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</w:t>
      </w:r>
      <w:r w:rsidR="00BC21C6" w:rsidRPr="00064919">
        <w:rPr>
          <w:rFonts w:asciiTheme="majorBidi" w:eastAsia="Times New Roman" w:hAnsiTheme="majorBidi" w:cstheme="majorBidi"/>
          <w:sz w:val="24"/>
          <w:szCs w:val="24"/>
          <w:lang w:eastAsia="ar-SA"/>
        </w:rPr>
        <w:t>до 25</w:t>
      </w:r>
      <w:r w:rsidR="00BC21C6" w:rsidRPr="00064919">
        <w:t> </w:t>
      </w:r>
      <w:r w:rsidR="00BC21C6" w:rsidRPr="00064919">
        <w:rPr>
          <w:rFonts w:asciiTheme="majorBidi" w:eastAsia="Times New Roman" w:hAnsiTheme="majorBidi" w:cstheme="majorBidi"/>
          <w:sz w:val="24"/>
          <w:szCs w:val="24"/>
          <w:lang w:eastAsia="ar-SA"/>
        </w:rPr>
        <w:t> </w:t>
      </w:r>
      <w:r w:rsidR="00A22666" w:rsidRPr="00064919">
        <w:rPr>
          <w:rFonts w:asciiTheme="majorBidi" w:hAnsiTheme="majorBidi" w:cstheme="majorBidi"/>
          <w:sz w:val="24"/>
          <w:szCs w:val="24"/>
        </w:rPr>
        <w:t>°С</w:t>
      </w:r>
      <w:r w:rsidR="00BC21C6" w:rsidRPr="00064919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. Зберігати </w:t>
      </w:r>
      <w:r w:rsidR="00064919">
        <w:rPr>
          <w:rFonts w:asciiTheme="majorBidi" w:eastAsia="Times New Roman" w:hAnsiTheme="majorBidi" w:cstheme="majorBidi"/>
          <w:sz w:val="24"/>
          <w:szCs w:val="24"/>
          <w:lang w:eastAsia="ar-SA"/>
        </w:rPr>
        <w:t>у</w:t>
      </w:r>
      <w:r w:rsidRPr="00064919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 недоступному для дітей місці.</w:t>
      </w:r>
    </w:p>
    <w:p w14:paraId="3487EA76" w14:textId="292796E7" w:rsidR="00264B9A" w:rsidRPr="00064919" w:rsidRDefault="00264B9A" w:rsidP="00264B9A">
      <w:pPr>
        <w:widowControl w:val="0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ar-SA"/>
        </w:rPr>
      </w:pPr>
      <w:r w:rsidRPr="00064919">
        <w:rPr>
          <w:rFonts w:asciiTheme="majorBidi" w:hAnsiTheme="majorBidi" w:cstheme="majorBidi"/>
          <w:sz w:val="24"/>
          <w:szCs w:val="24"/>
        </w:rPr>
        <w:t>Невикористану половинку таблетки слід зберігати в оригінальному блістері при кімнатній температурі (до 25 °С</w:t>
      </w:r>
      <w:r w:rsidR="00BC21C6" w:rsidRPr="00064919">
        <w:rPr>
          <w:rFonts w:asciiTheme="majorBidi" w:hAnsiTheme="majorBidi" w:cstheme="majorBidi"/>
          <w:sz w:val="24"/>
          <w:szCs w:val="24"/>
        </w:rPr>
        <w:t>) та використати протягом 3 діб</w:t>
      </w:r>
      <w:r w:rsidRPr="00064919">
        <w:rPr>
          <w:rFonts w:asciiTheme="majorBidi" w:hAnsiTheme="majorBidi" w:cstheme="majorBidi"/>
          <w:sz w:val="24"/>
          <w:szCs w:val="24"/>
        </w:rPr>
        <w:t xml:space="preserve"> після розламування.</w:t>
      </w:r>
    </w:p>
    <w:p w14:paraId="3EFA9C90" w14:textId="7F219425" w:rsidR="00BD58C1" w:rsidRPr="00064919" w:rsidRDefault="00BD58C1" w:rsidP="008D7EAD">
      <w:pPr>
        <w:widowControl w:val="0"/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b/>
          <w:snapToGrid w:val="0"/>
          <w:sz w:val="24"/>
          <w:szCs w:val="24"/>
          <w:lang w:eastAsia="ru-RU"/>
        </w:rPr>
        <w:t>6.4 Природа та склад контейнера первинного пакування</w:t>
      </w:r>
    </w:p>
    <w:p w14:paraId="2B646AF9" w14:textId="399F5805" w:rsidR="00725042" w:rsidRPr="00064919" w:rsidRDefault="00BC21C6" w:rsidP="00725042">
      <w:pPr>
        <w:widowControl w:val="0"/>
        <w:spacing w:after="0" w:line="240" w:lineRule="auto"/>
        <w:jc w:val="both"/>
        <w:rPr>
          <w:rFonts w:asciiTheme="majorBidi" w:eastAsia="Times New Roman" w:hAnsiTheme="majorBidi" w:cstheme="majorBidi"/>
          <w:bCs/>
          <w:snapToGrid w:val="0"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bCs/>
          <w:snapToGrid w:val="0"/>
          <w:sz w:val="24"/>
          <w:szCs w:val="24"/>
          <w:lang w:eastAsia="ru-RU"/>
        </w:rPr>
        <w:t>По 10 таблеток у</w:t>
      </w:r>
      <w:r w:rsidR="00725042" w:rsidRPr="00064919">
        <w:rPr>
          <w:rFonts w:asciiTheme="majorBidi" w:eastAsia="Times New Roman" w:hAnsiTheme="majorBidi" w:cstheme="majorBidi"/>
          <w:bCs/>
          <w:snapToGrid w:val="0"/>
          <w:sz w:val="24"/>
          <w:szCs w:val="24"/>
          <w:lang w:eastAsia="ru-RU"/>
        </w:rPr>
        <w:t xml:space="preserve"> блістері.</w:t>
      </w:r>
    </w:p>
    <w:p w14:paraId="68FB94E3" w14:textId="4668973E" w:rsidR="008D7EAD" w:rsidRPr="00064919" w:rsidRDefault="00725042" w:rsidP="0072504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bCs/>
          <w:snapToGrid w:val="0"/>
          <w:sz w:val="24"/>
          <w:szCs w:val="24"/>
          <w:lang w:eastAsia="ru-RU"/>
        </w:rPr>
        <w:t>По 2 блістери разом з листівкою-вкладкою в пачці з картону.</w:t>
      </w:r>
    </w:p>
    <w:p w14:paraId="6D498DD0" w14:textId="14DC7830" w:rsidR="00BD58C1" w:rsidRPr="00064919" w:rsidRDefault="00BD58C1" w:rsidP="008D7EAD">
      <w:pPr>
        <w:widowControl w:val="0"/>
        <w:spacing w:after="0" w:line="240" w:lineRule="auto"/>
        <w:jc w:val="both"/>
        <w:rPr>
          <w:rFonts w:asciiTheme="majorBidi" w:eastAsia="Times New Roman" w:hAnsiTheme="majorBidi" w:cstheme="majorBidi"/>
          <w:b/>
          <w:snapToGrid w:val="0"/>
          <w:sz w:val="24"/>
          <w:szCs w:val="24"/>
        </w:rPr>
      </w:pPr>
      <w:r w:rsidRPr="00064919">
        <w:rPr>
          <w:rFonts w:asciiTheme="majorBidi" w:eastAsia="Times New Roman" w:hAnsiTheme="majorBidi" w:cstheme="majorBidi"/>
          <w:b/>
          <w:snapToGrid w:val="0"/>
          <w:sz w:val="24"/>
          <w:szCs w:val="24"/>
        </w:rPr>
        <w:t>6.5 Особливі заходи безпеки при поводженні з невикористаним препаратом або із його залишками</w:t>
      </w:r>
    </w:p>
    <w:p w14:paraId="39D261B2" w14:textId="77777777" w:rsidR="00BD58C1" w:rsidRPr="00064919" w:rsidRDefault="00BD58C1" w:rsidP="00BD58C1">
      <w:pPr>
        <w:widowControl w:val="0"/>
        <w:spacing w:after="0" w:line="240" w:lineRule="auto"/>
        <w:jc w:val="both"/>
        <w:rPr>
          <w:rFonts w:asciiTheme="majorBidi" w:eastAsia="Times New Roman" w:hAnsiTheme="majorBidi" w:cstheme="majorBidi"/>
          <w:snapToGrid w:val="0"/>
          <w:sz w:val="24"/>
          <w:szCs w:val="24"/>
        </w:rPr>
      </w:pPr>
      <w:r w:rsidRPr="00064919">
        <w:rPr>
          <w:rFonts w:asciiTheme="majorBidi" w:eastAsia="Times New Roman" w:hAnsiTheme="majorBidi" w:cstheme="majorBidi"/>
          <w:snapToGrid w:val="0"/>
          <w:sz w:val="24"/>
          <w:szCs w:val="24"/>
        </w:rPr>
        <w:t>Порожню упаковку та залишки невикористаного препарату потрібно утилізувати згідно з чинним законодавством.</w:t>
      </w:r>
    </w:p>
    <w:p w14:paraId="56FAAA53" w14:textId="77777777" w:rsidR="00BD58C1" w:rsidRPr="009352EC" w:rsidRDefault="00BD58C1" w:rsidP="00BD58C1">
      <w:pPr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eastAsia="ru-RU"/>
        </w:rPr>
      </w:pPr>
      <w:r w:rsidRPr="00064919">
        <w:rPr>
          <w:rFonts w:asciiTheme="majorBidi" w:eastAsia="Times New Roman" w:hAnsiTheme="majorBidi" w:cstheme="majorBidi"/>
          <w:b/>
          <w:bCs/>
          <w:sz w:val="24"/>
          <w:szCs w:val="24"/>
          <w:lang w:eastAsia="ru-RU"/>
        </w:rPr>
        <w:t>7. Назва і місцезнаходження власника реєстраційного посвідчення</w:t>
      </w:r>
    </w:p>
    <w:p w14:paraId="696528FD" w14:textId="5B834428" w:rsidR="00BD58C1" w:rsidRPr="009352EC" w:rsidRDefault="00DA2B26" w:rsidP="00EE4DF5">
      <w:pPr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9352EC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ПАТ </w:t>
      </w:r>
      <w:r w:rsidRPr="009352EC">
        <w:rPr>
          <w:rFonts w:asciiTheme="majorBidi" w:eastAsia="Times New Roman" w:hAnsiTheme="majorBidi" w:cstheme="majorBidi"/>
          <w:sz w:val="24"/>
          <w:szCs w:val="24"/>
          <w:lang w:val="ru-RU" w:eastAsia="ru-RU"/>
        </w:rPr>
        <w:t>«</w:t>
      </w:r>
      <w:proofErr w:type="spellStart"/>
      <w:r w:rsidRPr="009352EC">
        <w:rPr>
          <w:rFonts w:asciiTheme="majorBidi" w:eastAsia="Times New Roman" w:hAnsiTheme="majorBidi" w:cstheme="majorBidi"/>
          <w:sz w:val="24"/>
          <w:szCs w:val="24"/>
          <w:lang w:eastAsia="ru-RU"/>
        </w:rPr>
        <w:t>Київмедпрепарат</w:t>
      </w:r>
      <w:proofErr w:type="spellEnd"/>
      <w:r w:rsidRPr="009352EC">
        <w:rPr>
          <w:rFonts w:asciiTheme="majorBidi" w:eastAsia="Times New Roman" w:hAnsiTheme="majorBidi" w:cstheme="majorBidi"/>
          <w:sz w:val="24"/>
          <w:szCs w:val="24"/>
          <w:lang w:val="ru-RU" w:eastAsia="ru-RU"/>
        </w:rPr>
        <w:t>»</w:t>
      </w:r>
      <w:r w:rsidRPr="009352EC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, </w:t>
      </w:r>
      <w:r w:rsidR="00EE4DF5" w:rsidRPr="009352EC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  <w:lang w:eastAsia="ru-RU"/>
        </w:rPr>
        <w:t xml:space="preserve">Україна, 01032, </w:t>
      </w:r>
      <w:r w:rsidR="00BD58C1" w:rsidRPr="009352EC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  <w:lang w:eastAsia="ru-RU"/>
        </w:rPr>
        <w:t>м.</w:t>
      </w:r>
      <w:r w:rsidR="00EE4DF5" w:rsidRPr="009352EC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  <w:lang w:eastAsia="ru-RU"/>
        </w:rPr>
        <w:t xml:space="preserve"> Київ, вул. Саксаганського, 139</w:t>
      </w:r>
      <w:r w:rsidR="00BD58C1" w:rsidRPr="009352EC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  <w:lang w:eastAsia="ru-RU"/>
        </w:rPr>
        <w:t>.</w:t>
      </w:r>
    </w:p>
    <w:p w14:paraId="68E24EE5" w14:textId="77777777" w:rsidR="00BD58C1" w:rsidRPr="009352EC" w:rsidRDefault="00BD58C1" w:rsidP="00BD58C1">
      <w:pPr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eastAsia="ru-RU"/>
        </w:rPr>
      </w:pPr>
      <w:r w:rsidRPr="009352EC">
        <w:rPr>
          <w:rFonts w:asciiTheme="majorBidi" w:eastAsia="Times New Roman" w:hAnsiTheme="majorBidi" w:cstheme="majorBidi"/>
          <w:b/>
          <w:bCs/>
          <w:sz w:val="24"/>
          <w:szCs w:val="24"/>
          <w:lang w:eastAsia="ru-RU"/>
        </w:rPr>
        <w:t>8. Назва і місцезнаходження виробника</w:t>
      </w:r>
    </w:p>
    <w:p w14:paraId="4CF990FD" w14:textId="30767AB9" w:rsidR="00BD58C1" w:rsidRPr="009352EC" w:rsidRDefault="00BD58C1" w:rsidP="00EE4DF5">
      <w:p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ru-RU" w:eastAsia="ru-RU"/>
        </w:rPr>
      </w:pPr>
      <w:r w:rsidRPr="009352EC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ПАТ </w:t>
      </w:r>
      <w:r w:rsidRPr="009352EC">
        <w:rPr>
          <w:rFonts w:asciiTheme="majorBidi" w:eastAsia="Times New Roman" w:hAnsiTheme="majorBidi" w:cstheme="majorBidi"/>
          <w:sz w:val="24"/>
          <w:szCs w:val="24"/>
          <w:lang w:val="ru-RU" w:eastAsia="ru-RU"/>
        </w:rPr>
        <w:t>«</w:t>
      </w:r>
      <w:proofErr w:type="spellStart"/>
      <w:r w:rsidR="00767A6D" w:rsidRPr="009352EC">
        <w:rPr>
          <w:rFonts w:asciiTheme="majorBidi" w:eastAsia="Times New Roman" w:hAnsiTheme="majorBidi" w:cstheme="majorBidi"/>
          <w:sz w:val="24"/>
          <w:szCs w:val="24"/>
          <w:lang w:eastAsia="ru-RU"/>
        </w:rPr>
        <w:t>Київмедпрепарат</w:t>
      </w:r>
      <w:proofErr w:type="spellEnd"/>
      <w:r w:rsidRPr="009352EC">
        <w:rPr>
          <w:rFonts w:asciiTheme="majorBidi" w:eastAsia="Times New Roman" w:hAnsiTheme="majorBidi" w:cstheme="majorBidi"/>
          <w:sz w:val="24"/>
          <w:szCs w:val="24"/>
          <w:lang w:val="ru-RU" w:eastAsia="ru-RU"/>
        </w:rPr>
        <w:t>»</w:t>
      </w:r>
      <w:r w:rsidRPr="009352EC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, </w:t>
      </w:r>
      <w:r w:rsidR="00EE4DF5" w:rsidRPr="009352EC">
        <w:rPr>
          <w:rFonts w:asciiTheme="majorBidi" w:eastAsia="Times New Roman" w:hAnsiTheme="majorBidi" w:cstheme="majorBidi"/>
          <w:color w:val="000000"/>
          <w:spacing w:val="-2"/>
          <w:sz w:val="24"/>
          <w:szCs w:val="24"/>
          <w:lang w:eastAsia="ru-RU"/>
        </w:rPr>
        <w:t>Україна, 01032, м. Київ, вул. Саксаганського, 139</w:t>
      </w:r>
      <w:r w:rsidRPr="009352EC">
        <w:rPr>
          <w:rFonts w:asciiTheme="majorBidi" w:eastAsia="Times New Roman" w:hAnsiTheme="majorBidi" w:cstheme="majorBidi"/>
          <w:sz w:val="24"/>
          <w:szCs w:val="24"/>
          <w:lang w:eastAsia="ru-RU"/>
        </w:rPr>
        <w:t>.</w:t>
      </w:r>
      <w:r w:rsidRPr="009352EC">
        <w:rPr>
          <w:rFonts w:asciiTheme="majorBidi" w:eastAsia="Times New Roman" w:hAnsiTheme="majorBidi" w:cstheme="majorBidi"/>
          <w:b/>
          <w:color w:val="000000"/>
          <w:spacing w:val="-2"/>
          <w:sz w:val="24"/>
          <w:szCs w:val="24"/>
          <w:lang w:eastAsia="ru-RU"/>
        </w:rPr>
        <w:t xml:space="preserve"> </w:t>
      </w:r>
    </w:p>
    <w:p w14:paraId="1D3C2609" w14:textId="77777777" w:rsidR="00BD58C1" w:rsidRPr="00FE2C16" w:rsidRDefault="00BD58C1" w:rsidP="00BD58C1">
      <w:pPr>
        <w:spacing w:after="0" w:line="240" w:lineRule="auto"/>
        <w:jc w:val="both"/>
        <w:rPr>
          <w:rFonts w:asciiTheme="majorBidi" w:eastAsia="Times New Roman" w:hAnsiTheme="majorBidi" w:cstheme="majorBidi"/>
          <w:b/>
          <w:sz w:val="24"/>
          <w:szCs w:val="24"/>
          <w:lang w:eastAsia="ru-RU"/>
        </w:rPr>
      </w:pPr>
      <w:r w:rsidRPr="009352EC">
        <w:rPr>
          <w:rFonts w:asciiTheme="majorBidi" w:eastAsia="Times New Roman" w:hAnsiTheme="majorBidi" w:cstheme="majorBidi"/>
          <w:b/>
          <w:sz w:val="24"/>
          <w:szCs w:val="24"/>
          <w:lang w:eastAsia="ru-RU"/>
        </w:rPr>
        <w:t>9. Додаткова інформація</w:t>
      </w:r>
    </w:p>
    <w:p w14:paraId="278BDEDE" w14:textId="77777777" w:rsidR="003C4263" w:rsidRPr="00FE2C16" w:rsidRDefault="003C4263">
      <w:pPr>
        <w:rPr>
          <w:rFonts w:asciiTheme="majorBidi" w:hAnsiTheme="majorBidi" w:cstheme="majorBidi"/>
          <w:sz w:val="24"/>
          <w:szCs w:val="24"/>
        </w:rPr>
      </w:pPr>
    </w:p>
    <w:sectPr w:rsidR="003C4263" w:rsidRPr="00FE2C16" w:rsidSect="00E419EE">
      <w:headerReference w:type="default" r:id="rId7"/>
      <w:foot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9F7827" w14:textId="77777777" w:rsidR="00F808C0" w:rsidRDefault="00F808C0" w:rsidP="00443049">
      <w:pPr>
        <w:spacing w:after="0" w:line="240" w:lineRule="auto"/>
      </w:pPr>
      <w:r>
        <w:separator/>
      </w:r>
    </w:p>
  </w:endnote>
  <w:endnote w:type="continuationSeparator" w:id="0">
    <w:p w14:paraId="4CC9A629" w14:textId="77777777" w:rsidR="00F808C0" w:rsidRDefault="00F808C0" w:rsidP="00443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7305959"/>
      <w:docPartObj>
        <w:docPartGallery w:val="Page Numbers (Bottom of Page)"/>
        <w:docPartUnique/>
      </w:docPartObj>
    </w:sdtPr>
    <w:sdtEndPr/>
    <w:sdtContent>
      <w:p w14:paraId="429CC26F" w14:textId="55089B98" w:rsidR="00770580" w:rsidRDefault="00770580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19EE" w:rsidRPr="00E419EE">
          <w:rPr>
            <w:noProof/>
            <w:lang w:val="ru-RU"/>
          </w:rPr>
          <w:t>4</w:t>
        </w:r>
        <w:r>
          <w:fldChar w:fldCharType="end"/>
        </w:r>
      </w:p>
    </w:sdtContent>
  </w:sdt>
  <w:p w14:paraId="01E28D3D" w14:textId="77777777" w:rsidR="00770580" w:rsidRDefault="00770580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C2E446" w14:textId="77777777" w:rsidR="00F808C0" w:rsidRDefault="00F808C0" w:rsidP="00443049">
      <w:pPr>
        <w:spacing w:after="0" w:line="240" w:lineRule="auto"/>
      </w:pPr>
      <w:r>
        <w:separator/>
      </w:r>
    </w:p>
  </w:footnote>
  <w:footnote w:type="continuationSeparator" w:id="0">
    <w:p w14:paraId="2BBDF449" w14:textId="77777777" w:rsidR="00F808C0" w:rsidRDefault="00F808C0" w:rsidP="00443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4FB5B1" w14:textId="121589E9" w:rsidR="001E387E" w:rsidRPr="00591CB6" w:rsidRDefault="00A22666" w:rsidP="001E387E">
    <w:pPr>
      <w:spacing w:after="0" w:line="240" w:lineRule="auto"/>
      <w:ind w:firstLine="567"/>
      <w:jc w:val="right"/>
      <w:rPr>
        <w:rFonts w:ascii="Times New Roman" w:eastAsia="Times New Roman" w:hAnsi="Times New Roman" w:cs="Times New Roman"/>
        <w:sz w:val="24"/>
        <w:szCs w:val="24"/>
        <w:lang w:eastAsia="ru-RU"/>
      </w:rPr>
    </w:pPr>
    <w:r>
      <w:rPr>
        <w:rFonts w:ascii="Times New Roman" w:eastAsia="Times New Roman" w:hAnsi="Times New Roman" w:cs="Times New Roman"/>
        <w:sz w:val="24"/>
        <w:szCs w:val="24"/>
        <w:lang w:eastAsia="ru-RU"/>
      </w:rPr>
      <w:t>Продовження додат</w:t>
    </w:r>
    <w:r w:rsidR="001E387E" w:rsidRPr="00591CB6">
      <w:rPr>
        <w:rFonts w:ascii="Times New Roman" w:eastAsia="Times New Roman" w:hAnsi="Times New Roman" w:cs="Times New Roman"/>
        <w:sz w:val="24"/>
        <w:szCs w:val="24"/>
        <w:lang w:eastAsia="ru-RU"/>
      </w:rPr>
      <w:t>к</w:t>
    </w:r>
    <w:r>
      <w:rPr>
        <w:rFonts w:ascii="Times New Roman" w:eastAsia="Times New Roman" w:hAnsi="Times New Roman" w:cs="Times New Roman"/>
        <w:sz w:val="24"/>
        <w:szCs w:val="24"/>
        <w:lang w:eastAsia="ru-RU"/>
      </w:rPr>
      <w:t>у</w:t>
    </w:r>
    <w:r w:rsidR="001E387E" w:rsidRPr="00591CB6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1</w:t>
    </w:r>
  </w:p>
  <w:p w14:paraId="09FA184D" w14:textId="2D5BDDCB" w:rsidR="001E387E" w:rsidRPr="00591CB6" w:rsidRDefault="001E387E" w:rsidP="00064919">
    <w:pPr>
      <w:spacing w:after="0" w:line="240" w:lineRule="auto"/>
      <w:ind w:firstLine="567"/>
      <w:rPr>
        <w:rFonts w:ascii="Times New Roman" w:eastAsia="Times New Roman" w:hAnsi="Times New Roman" w:cs="Times New Roman"/>
        <w:sz w:val="24"/>
        <w:szCs w:val="24"/>
        <w:lang w:eastAsia="ru-RU"/>
      </w:rPr>
    </w:pPr>
    <w:r w:rsidRPr="00591CB6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                  </w:t>
    </w:r>
    <w:r w:rsidR="00A22666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                                           </w:t>
    </w:r>
    <w:r w:rsidRPr="00591CB6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 до реєстраційного посвідчення </w:t>
    </w:r>
    <w:r w:rsidR="00A22666">
      <w:rPr>
        <w:rFonts w:ascii="Times New Roman" w:eastAsia="Times New Roman" w:hAnsi="Times New Roman" w:cs="Times New Roman"/>
        <w:sz w:val="24"/>
        <w:szCs w:val="24"/>
        <w:lang w:eastAsia="ru-RU"/>
      </w:rPr>
      <w:t>АВ-09863-01-25</w:t>
    </w:r>
  </w:p>
  <w:p w14:paraId="457D552F" w14:textId="57DC88CB" w:rsidR="001E387E" w:rsidRDefault="001E387E">
    <w:pPr>
      <w:pStyle w:val="ad"/>
    </w:pPr>
  </w:p>
  <w:p w14:paraId="687AC3A0" w14:textId="77777777" w:rsidR="001E387E" w:rsidRDefault="001E387E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2E100D" w14:textId="707067FB" w:rsidR="00E419EE" w:rsidRPr="00591CB6" w:rsidRDefault="00E419EE" w:rsidP="00E419EE">
    <w:pPr>
      <w:spacing w:after="0" w:line="240" w:lineRule="auto"/>
      <w:ind w:firstLine="567"/>
      <w:jc w:val="right"/>
      <w:rPr>
        <w:rFonts w:ascii="Times New Roman" w:eastAsia="Times New Roman" w:hAnsi="Times New Roman" w:cs="Times New Roman"/>
        <w:sz w:val="24"/>
        <w:szCs w:val="24"/>
        <w:lang w:eastAsia="ru-RU"/>
      </w:rPr>
    </w:pPr>
    <w:r>
      <w:rPr>
        <w:rFonts w:ascii="Times New Roman" w:eastAsia="Times New Roman" w:hAnsi="Times New Roman" w:cs="Times New Roman"/>
        <w:sz w:val="24"/>
        <w:szCs w:val="24"/>
        <w:lang w:val="ru-RU" w:eastAsia="ru-RU"/>
      </w:rPr>
      <w:t>Д</w:t>
    </w:r>
    <w:proofErr w:type="spellStart"/>
    <w:r>
      <w:rPr>
        <w:rFonts w:ascii="Times New Roman" w:eastAsia="Times New Roman" w:hAnsi="Times New Roman" w:cs="Times New Roman"/>
        <w:sz w:val="24"/>
        <w:szCs w:val="24"/>
        <w:lang w:eastAsia="ru-RU"/>
      </w:rPr>
      <w:t>одат</w:t>
    </w:r>
    <w:r>
      <w:rPr>
        <w:rFonts w:ascii="Times New Roman" w:eastAsia="Times New Roman" w:hAnsi="Times New Roman" w:cs="Times New Roman"/>
        <w:sz w:val="24"/>
        <w:szCs w:val="24"/>
        <w:lang w:eastAsia="ru-RU"/>
      </w:rPr>
      <w:t>ок</w:t>
    </w:r>
    <w:proofErr w:type="spellEnd"/>
    <w:r w:rsidRPr="00591CB6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1</w:t>
    </w:r>
  </w:p>
  <w:p w14:paraId="5E2A6902" w14:textId="77777777" w:rsidR="00E419EE" w:rsidRPr="00591CB6" w:rsidRDefault="00E419EE" w:rsidP="00E419EE">
    <w:pPr>
      <w:spacing w:after="0" w:line="240" w:lineRule="auto"/>
      <w:ind w:firstLine="567"/>
      <w:rPr>
        <w:rFonts w:ascii="Times New Roman" w:eastAsia="Times New Roman" w:hAnsi="Times New Roman" w:cs="Times New Roman"/>
        <w:sz w:val="24"/>
        <w:szCs w:val="24"/>
        <w:lang w:eastAsia="ru-RU"/>
      </w:rPr>
    </w:pPr>
    <w:r w:rsidRPr="00591CB6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                  </w:t>
    </w:r>
    <w:r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                                           </w:t>
    </w:r>
    <w:r w:rsidRPr="00591CB6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 </w:t>
    </w:r>
    <w:r w:rsidRPr="00591CB6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до реєстраційного посвідчення </w:t>
    </w:r>
    <w:r>
      <w:rPr>
        <w:rFonts w:ascii="Times New Roman" w:eastAsia="Times New Roman" w:hAnsi="Times New Roman" w:cs="Times New Roman"/>
        <w:sz w:val="24"/>
        <w:szCs w:val="24"/>
        <w:lang w:eastAsia="ru-RU"/>
      </w:rPr>
      <w:t>АВ-09863-01-25</w:t>
    </w:r>
  </w:p>
  <w:p w14:paraId="10DAEE5C" w14:textId="77777777" w:rsidR="00E419EE" w:rsidRDefault="00E419EE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B700F"/>
    <w:multiLevelType w:val="multilevel"/>
    <w:tmpl w:val="8B6AF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8143A2"/>
    <w:multiLevelType w:val="hybridMultilevel"/>
    <w:tmpl w:val="AA064A3E"/>
    <w:lvl w:ilvl="0" w:tplc="60F65C5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2A5"/>
    <w:rsid w:val="00027AB5"/>
    <w:rsid w:val="00064919"/>
    <w:rsid w:val="000A1EF6"/>
    <w:rsid w:val="000D11BC"/>
    <w:rsid w:val="000F23E3"/>
    <w:rsid w:val="00116B59"/>
    <w:rsid w:val="001227E2"/>
    <w:rsid w:val="00126D39"/>
    <w:rsid w:val="00176B51"/>
    <w:rsid w:val="001B136D"/>
    <w:rsid w:val="001B4C02"/>
    <w:rsid w:val="001E387E"/>
    <w:rsid w:val="00217708"/>
    <w:rsid w:val="0022670F"/>
    <w:rsid w:val="00264B9A"/>
    <w:rsid w:val="00271859"/>
    <w:rsid w:val="00281F70"/>
    <w:rsid w:val="00370908"/>
    <w:rsid w:val="003C4263"/>
    <w:rsid w:val="003E3049"/>
    <w:rsid w:val="003F4489"/>
    <w:rsid w:val="00443049"/>
    <w:rsid w:val="004532B2"/>
    <w:rsid w:val="00490F4C"/>
    <w:rsid w:val="004A1453"/>
    <w:rsid w:val="004A52E9"/>
    <w:rsid w:val="004E09B4"/>
    <w:rsid w:val="00522516"/>
    <w:rsid w:val="005413AC"/>
    <w:rsid w:val="00556EA0"/>
    <w:rsid w:val="00593BF7"/>
    <w:rsid w:val="00620543"/>
    <w:rsid w:val="006909FF"/>
    <w:rsid w:val="006A322B"/>
    <w:rsid w:val="006B15E9"/>
    <w:rsid w:val="006D1E98"/>
    <w:rsid w:val="006E01B8"/>
    <w:rsid w:val="00703652"/>
    <w:rsid w:val="00725042"/>
    <w:rsid w:val="007600A1"/>
    <w:rsid w:val="00767A6D"/>
    <w:rsid w:val="00770580"/>
    <w:rsid w:val="00787C70"/>
    <w:rsid w:val="007D29A6"/>
    <w:rsid w:val="00816F53"/>
    <w:rsid w:val="00881EF9"/>
    <w:rsid w:val="008D7EAD"/>
    <w:rsid w:val="009048ED"/>
    <w:rsid w:val="009352EC"/>
    <w:rsid w:val="00947758"/>
    <w:rsid w:val="00967783"/>
    <w:rsid w:val="00982E24"/>
    <w:rsid w:val="00A066D4"/>
    <w:rsid w:val="00A22666"/>
    <w:rsid w:val="00A25652"/>
    <w:rsid w:val="00A5660A"/>
    <w:rsid w:val="00A627D9"/>
    <w:rsid w:val="00AC1561"/>
    <w:rsid w:val="00B043A0"/>
    <w:rsid w:val="00B41C3D"/>
    <w:rsid w:val="00B85235"/>
    <w:rsid w:val="00B862A5"/>
    <w:rsid w:val="00BC21C6"/>
    <w:rsid w:val="00BD3CFF"/>
    <w:rsid w:val="00BD58C1"/>
    <w:rsid w:val="00BE748A"/>
    <w:rsid w:val="00C31786"/>
    <w:rsid w:val="00C62D79"/>
    <w:rsid w:val="00CB3584"/>
    <w:rsid w:val="00CD5308"/>
    <w:rsid w:val="00D16AC9"/>
    <w:rsid w:val="00D2793E"/>
    <w:rsid w:val="00D64681"/>
    <w:rsid w:val="00DA2B26"/>
    <w:rsid w:val="00DB0AD8"/>
    <w:rsid w:val="00E419EE"/>
    <w:rsid w:val="00E45EF5"/>
    <w:rsid w:val="00EA3F76"/>
    <w:rsid w:val="00EE4DF5"/>
    <w:rsid w:val="00F1677A"/>
    <w:rsid w:val="00F557CC"/>
    <w:rsid w:val="00F6272C"/>
    <w:rsid w:val="00F808C0"/>
    <w:rsid w:val="00FA0AD4"/>
    <w:rsid w:val="00FA58C0"/>
    <w:rsid w:val="00FB7F68"/>
    <w:rsid w:val="00FD0FD8"/>
    <w:rsid w:val="00FE2C16"/>
    <w:rsid w:val="00FE4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E642D8"/>
  <w15:docId w15:val="{5CECB891-48D2-4CD9-A9E4-E3999C06E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58C1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8C1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2177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1770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17708"/>
    <w:rPr>
      <w:sz w:val="20"/>
      <w:szCs w:val="20"/>
      <w:lang w:val="uk-UA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177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17708"/>
    <w:rPr>
      <w:b/>
      <w:bCs/>
      <w:sz w:val="20"/>
      <w:szCs w:val="20"/>
      <w:lang w:val="uk-UA"/>
    </w:rPr>
  </w:style>
  <w:style w:type="paragraph" w:styleId="a9">
    <w:name w:val="Balloon Text"/>
    <w:basedOn w:val="a"/>
    <w:link w:val="aa"/>
    <w:uiPriority w:val="99"/>
    <w:semiHidden/>
    <w:unhideWhenUsed/>
    <w:rsid w:val="002177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17708"/>
    <w:rPr>
      <w:rFonts w:ascii="Segoe UI" w:hAnsi="Segoe UI" w:cs="Segoe UI"/>
      <w:sz w:val="18"/>
      <w:szCs w:val="18"/>
      <w:lang w:val="uk-UA"/>
    </w:rPr>
  </w:style>
  <w:style w:type="paragraph" w:styleId="ab">
    <w:name w:val="Normal (Web)"/>
    <w:basedOn w:val="a"/>
    <w:uiPriority w:val="99"/>
    <w:semiHidden/>
    <w:unhideWhenUsed/>
    <w:rsid w:val="001B4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c">
    <w:name w:val="Strong"/>
    <w:basedOn w:val="a0"/>
    <w:uiPriority w:val="22"/>
    <w:qFormat/>
    <w:rsid w:val="004E09B4"/>
    <w:rPr>
      <w:b/>
      <w:bCs/>
    </w:rPr>
  </w:style>
  <w:style w:type="paragraph" w:styleId="ad">
    <w:name w:val="header"/>
    <w:basedOn w:val="a"/>
    <w:link w:val="ae"/>
    <w:uiPriority w:val="99"/>
    <w:unhideWhenUsed/>
    <w:rsid w:val="0044304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43049"/>
    <w:rPr>
      <w:lang w:val="uk-UA"/>
    </w:rPr>
  </w:style>
  <w:style w:type="paragraph" w:styleId="af">
    <w:name w:val="footer"/>
    <w:basedOn w:val="a"/>
    <w:link w:val="af0"/>
    <w:uiPriority w:val="99"/>
    <w:unhideWhenUsed/>
    <w:rsid w:val="0044304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43049"/>
    <w:rPr>
      <w:lang w:val="uk-UA"/>
    </w:rPr>
  </w:style>
  <w:style w:type="table" w:styleId="af1">
    <w:name w:val="Table Grid"/>
    <w:basedOn w:val="a1"/>
    <w:rsid w:val="007705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1"/>
    <w:qFormat/>
    <w:rsid w:val="00816F53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8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1365</Words>
  <Characters>7781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Vitkovskaja Anna</dc:creator>
  <cp:keywords/>
  <dc:description/>
  <cp:lastModifiedBy>Diadiuk Oleksandr</cp:lastModifiedBy>
  <cp:revision>3</cp:revision>
  <cp:lastPrinted>2026-08-31T08:06:00Z</cp:lastPrinted>
  <dcterms:created xsi:type="dcterms:W3CDTF">2026-08-31T09:29:00Z</dcterms:created>
  <dcterms:modified xsi:type="dcterms:W3CDTF">2026-08-31T09:35:00Z</dcterms:modified>
</cp:coreProperties>
</file>